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001-38428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Hasivim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Petach Tikva 495376,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13, 2026, PolyPid Ltd., or the Company, issued a press release, titled “PolyPid Provides Corporate Update and Reports First Quarter 2026 Financial Results.”</w:t>
      </w:r>
    </w:p>
    <w:p>
      <w:pPr>
        <w:spacing w:after="0" w:line="162"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bullet points under the section titled “Recent Corporate Highlights,” the sections titled “Financial results for the three months ended March 31, 2026,” “Balance Sheet Highlights,” and “Forward-looking Statements” and the financial statements in the press release attached hereto as Exhibit 99.1 are incorporated by reference into the Company’s registration statements on Form F-3 (File No. </w:t>
      </w:r>
      <w:hyperlink r:id="rId13">
        <w:r>
          <w:rPr>
            <w:rFonts w:ascii="Times New Roman" w:cs="Times New Roman" w:eastAsia="Times New Roman" w:hAnsi="Times New Roman"/>
            <w:sz w:val="18"/>
            <w:szCs w:val="18"/>
            <w:u w:val="single" w:color="auto"/>
            <w:color w:val="0000EE"/>
          </w:rPr>
          <w:t>333-276826</w:t>
        </w:r>
      </w:hyperlink>
      <w:r>
        <w:rPr>
          <w:rFonts w:ascii="Times New Roman" w:cs="Times New Roman" w:eastAsia="Times New Roman" w:hAnsi="Times New Roman"/>
          <w:sz w:val="18"/>
          <w:szCs w:val="18"/>
          <w:color w:val="auto"/>
        </w:rPr>
        <w:t xml:space="preserve">, File No. </w:t>
      </w:r>
      <w:hyperlink r:id="rId14">
        <w:r>
          <w:rPr>
            <w:rFonts w:ascii="Times New Roman" w:cs="Times New Roman" w:eastAsia="Times New Roman" w:hAnsi="Times New Roman"/>
            <w:sz w:val="18"/>
            <w:szCs w:val="18"/>
            <w:u w:val="single" w:color="auto"/>
            <w:color w:val="0000EE"/>
          </w:rPr>
          <w:t>333-280658</w:t>
        </w:r>
      </w:hyperlink>
      <w:r>
        <w:rPr>
          <w:rFonts w:ascii="Times New Roman" w:cs="Times New Roman" w:eastAsia="Times New Roman" w:hAnsi="Times New Roman"/>
          <w:sz w:val="18"/>
          <w:szCs w:val="18"/>
          <w:color w:val="auto"/>
        </w:rPr>
        <w:t xml:space="preserve">, File No. </w:t>
      </w:r>
      <w:hyperlink r:id="rId15">
        <w:r>
          <w:rPr>
            <w:rFonts w:ascii="Times New Roman" w:cs="Times New Roman" w:eastAsia="Times New Roman" w:hAnsi="Times New Roman"/>
            <w:sz w:val="18"/>
            <w:szCs w:val="18"/>
            <w:u w:val="single" w:color="auto"/>
            <w:color w:val="0000EE"/>
          </w:rPr>
          <w:t>333-281863</w:t>
        </w:r>
      </w:hyperlink>
      <w:r>
        <w:rPr>
          <w:rFonts w:ascii="Times New Roman" w:cs="Times New Roman" w:eastAsia="Times New Roman" w:hAnsi="Times New Roman"/>
          <w:sz w:val="18"/>
          <w:szCs w:val="18"/>
          <w:color w:val="auto"/>
        </w:rPr>
        <w:t xml:space="preserve">, File No. </w:t>
      </w:r>
      <w:hyperlink r:id="rId16">
        <w:r>
          <w:rPr>
            <w:rFonts w:ascii="Times New Roman" w:cs="Times New Roman" w:eastAsia="Times New Roman" w:hAnsi="Times New Roman"/>
            <w:sz w:val="18"/>
            <w:szCs w:val="18"/>
            <w:u w:val="single" w:color="auto"/>
            <w:color w:val="0000EE"/>
          </w:rPr>
          <w:t>333-284376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7">
        <w:r>
          <w:rPr>
            <w:rFonts w:ascii="Times New Roman" w:cs="Times New Roman" w:eastAsia="Times New Roman" w:hAnsi="Times New Roman"/>
            <w:sz w:val="18"/>
            <w:szCs w:val="18"/>
            <w:u w:val="single" w:color="auto"/>
            <w:color w:val="0000EE"/>
          </w:rPr>
          <w:t>333-289034</w:t>
        </w:r>
      </w:hyperlink>
      <w:r>
        <w:rPr>
          <w:rFonts w:ascii="Times New Roman" w:cs="Times New Roman" w:eastAsia="Times New Roman" w:hAnsi="Times New Roman"/>
          <w:sz w:val="18"/>
          <w:szCs w:val="18"/>
          <w:color w:val="auto"/>
        </w:rPr>
        <w:t xml:space="preserve">) and Form S-8 (File No. </w:t>
      </w:r>
      <w:hyperlink r:id="rId18">
        <w:r>
          <w:rPr>
            <w:rFonts w:ascii="Times New Roman" w:cs="Times New Roman" w:eastAsia="Times New Roman" w:hAnsi="Times New Roman"/>
            <w:sz w:val="18"/>
            <w:szCs w:val="18"/>
            <w:u w:val="single" w:color="auto"/>
            <w:color w:val="0000EE"/>
          </w:rPr>
          <w:t>333-239517</w:t>
        </w:r>
      </w:hyperlink>
      <w:r>
        <w:rPr>
          <w:rFonts w:ascii="Times New Roman" w:cs="Times New Roman" w:eastAsia="Times New Roman" w:hAnsi="Times New Roman"/>
          <w:sz w:val="18"/>
          <w:szCs w:val="18"/>
          <w:color w:val="auto"/>
        </w:rPr>
        <w:t xml:space="preserve">, File No. </w:t>
      </w:r>
      <w:hyperlink r:id="rId19">
        <w:r>
          <w:rPr>
            <w:rFonts w:ascii="Times New Roman" w:cs="Times New Roman" w:eastAsia="Times New Roman" w:hAnsi="Times New Roman"/>
            <w:sz w:val="18"/>
            <w:szCs w:val="18"/>
            <w:u w:val="single" w:color="auto"/>
            <w:color w:val="0000EE"/>
          </w:rPr>
          <w:t>333-271060</w:t>
        </w:r>
      </w:hyperlink>
      <w:r>
        <w:rPr>
          <w:rFonts w:ascii="Times New Roman" w:cs="Times New Roman" w:eastAsia="Times New Roman" w:hAnsi="Times New Roman"/>
          <w:sz w:val="18"/>
          <w:szCs w:val="18"/>
          <w:color w:val="auto"/>
        </w:rPr>
        <w:t xml:space="preserve">, File No. </w:t>
      </w:r>
      <w:hyperlink r:id="rId20">
        <w:r>
          <w:rPr>
            <w:rFonts w:ascii="Times New Roman" w:cs="Times New Roman" w:eastAsia="Times New Roman" w:hAnsi="Times New Roman"/>
            <w:sz w:val="18"/>
            <w:szCs w:val="18"/>
            <w:u w:val="single" w:color="auto"/>
            <w:color w:val="0000EE"/>
          </w:rPr>
          <w:t>333-277703</w:t>
        </w:r>
      </w:hyperlink>
      <w:r>
        <w:rPr>
          <w:rFonts w:ascii="Times New Roman" w:cs="Times New Roman" w:eastAsia="Times New Roman" w:hAnsi="Times New Roman"/>
          <w:sz w:val="18"/>
          <w:szCs w:val="18"/>
          <w:color w:val="auto"/>
        </w:rPr>
        <w:t xml:space="preserve">, File No. </w:t>
      </w:r>
      <w:hyperlink r:id="rId21">
        <w:r>
          <w:rPr>
            <w:rFonts w:ascii="Times New Roman" w:cs="Times New Roman" w:eastAsia="Times New Roman" w:hAnsi="Times New Roman"/>
            <w:sz w:val="18"/>
            <w:szCs w:val="18"/>
            <w:u w:val="single" w:color="auto"/>
            <w:color w:val="0000EE"/>
          </w:rPr>
          <w:t>333-280662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2">
        <w:r>
          <w:rPr>
            <w:rFonts w:ascii="Times New Roman" w:cs="Times New Roman" w:eastAsia="Times New Roman" w:hAnsi="Times New Roman"/>
            <w:sz w:val="18"/>
            <w:szCs w:val="18"/>
            <w:u w:val="single" w:color="auto"/>
            <w:color w:val="0000EE"/>
          </w:rPr>
          <w:t>333-289570</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Press release issued by PolyPid Ltd. on May 13, 2026, titled “PolyPid Provides Corporate Update and Reports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-305435</wp:posOffset>
            </wp:positionV>
            <wp:extent cx="713232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260"/>
            <w:col w:w="1010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Dikla Czaczkes Akselbrad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 Dikla Czaczkes Akselbrad</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156845</wp:posOffset>
            </wp:positionV>
            <wp:extent cx="132016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PolyPid Provides Corporate Update and Reports First Quarter 2026 Financial Results</w:t>
      </w:r>
    </w:p>
    <w:p>
      <w:pPr>
        <w:spacing w:after="0" w:line="188"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i w:val="1"/>
          <w:iCs w:val="1"/>
          <w:color w:val="auto"/>
        </w:rPr>
        <w:t>Initiated NDA Submission to the FDA for D-PLEX</w:t>
      </w:r>
      <w:r>
        <w:rPr>
          <w:rFonts w:ascii="MS PGothic" w:cs="MS PGothic" w:eastAsia="MS PGothic" w:hAnsi="MS PGothic"/>
          <w:sz w:val="18"/>
          <w:szCs w:val="18"/>
          <w:i w:val="1"/>
          <w:iCs w:val="1"/>
          <w:color w:val="auto"/>
        </w:rPr>
        <w:t>₁₀₀</w:t>
      </w:r>
      <w:r>
        <w:rPr>
          <w:rFonts w:ascii="Times New Roman" w:cs="Times New Roman" w:eastAsia="Times New Roman" w:hAnsi="Times New Roman"/>
          <w:sz w:val="18"/>
          <w:szCs w:val="18"/>
          <w:i w:val="1"/>
          <w:iCs w:val="1"/>
          <w:color w:val="auto"/>
        </w:rPr>
        <w:t>; Completion Expected Imminently</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Commercial Partnership Discussions in Late Stages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Today at 8:30 AM 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PETACH TIKVA, Israel, May 13, 2026 -- PolyPid Ltd. (Nasdaq: PYPD) (“PolyPid” or the “Company”), an innovative biopharmaceutical company dedicated to improving patient outcomes by elevating treatment effectiveness, right where care begins, today provided a corporate update and reported financial results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5" w:lineRule="exact"/>
        <w:rPr>
          <w:sz w:val="20"/>
          <w:szCs w:val="20"/>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Initiated NDA Submission to the FDA under Rolling Review:</w:t>
      </w:r>
    </w:p>
    <w:p>
      <w:pPr>
        <w:spacing w:after="0" w:line="229" w:lineRule="exact"/>
        <w:rPr>
          <w:rFonts w:ascii="Times New Roman" w:cs="Times New Roman" w:eastAsia="Times New Roman" w:hAnsi="Times New Roman"/>
          <w:sz w:val="18"/>
          <w:szCs w:val="18"/>
          <w:color w:val="auto"/>
        </w:rPr>
      </w:pPr>
    </w:p>
    <w:p>
      <w:pPr>
        <w:ind w:left="960" w:hanging="324"/>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On March 30, 2026, the Company initiated a New Drug Application (“NDA”) submission to the U.S. Food and Drug Administration (the “FDA”)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the Company’s lead product candidate for the prevention of surgical site infections (“SSIs”) in patients undergoing colorectal surgery. The first modules, including the Chemistry, Manufacturing and Controls (“CMC”) and nonclinical sections, were submitted as part of the rolling review, with additional components, including the clinical section, expected to be submitted imminently, marking the completion of the NDA submission.</w:t>
      </w:r>
    </w:p>
    <w:p>
      <w:pPr>
        <w:spacing w:after="0" w:line="200" w:lineRule="exact"/>
        <w:rPr>
          <w:rFonts w:ascii="Times New Roman" w:cs="Times New Roman" w:eastAsia="Times New Roman" w:hAnsi="Times New Roman"/>
          <w:sz w:val="18"/>
          <w:szCs w:val="18"/>
          <w:color w:val="auto"/>
        </w:rPr>
      </w:pPr>
    </w:p>
    <w:p>
      <w:pPr>
        <w:jc w:val="right"/>
        <w:ind w:left="960" w:hanging="324"/>
        <w:spacing w:after="0" w:line="23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March 2026, the FDA granted PolyPid a small business waiver of the Prescription Drug User Fee Act (“PDUFA”) fee of approximately $4.3 million for the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NDA. This meaningful waiver enables the Company to focus its resources on commercialization preparations.</w:t>
      </w:r>
    </w:p>
    <w:p>
      <w:pPr>
        <w:spacing w:after="0" w:line="166"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EU Regulatory Submission: </w:t>
      </w:r>
      <w:r>
        <w:rPr>
          <w:rFonts w:ascii="Times New Roman" w:cs="Times New Roman" w:eastAsia="Times New Roman" w:hAnsi="Times New Roman"/>
          <w:sz w:val="18"/>
          <w:szCs w:val="18"/>
          <w:color w:val="auto"/>
        </w:rPr>
        <w:t>The Company has scheduled meetings in the second quarter of 2026 with the European Medicines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(“EMA”) Rapporteur and Co-Rapporteur, which are European regulatory authorities designated to lead the assessment of the planned Marketing Authorization Application (“MAA”)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to align on the content and structure of the planned submission. The MAA, which will be submitted to the EMA under the Centralized Procedure on the basis of therapeutic innovation, is currently planned for the third quarter of 2026.</w:t>
      </w:r>
    </w:p>
    <w:p>
      <w:pPr>
        <w:spacing w:after="0" w:line="196" w:lineRule="exact"/>
        <w:rPr>
          <w:rFonts w:ascii="Times New Roman" w:cs="Times New Roman" w:eastAsia="Times New Roman" w:hAnsi="Times New Roman"/>
          <w:sz w:val="18"/>
          <w:szCs w:val="18"/>
          <w:color w:val="auto"/>
        </w:rPr>
      </w:pPr>
    </w:p>
    <w:p>
      <w:pPr>
        <w:ind w:left="660" w:hanging="328"/>
        <w:spacing w:after="0" w:line="241" w:lineRule="exact"/>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Commercial Partnership Discussions in Late Stages: </w:t>
      </w:r>
      <w:r>
        <w:rPr>
          <w:rFonts w:ascii="Times New Roman" w:cs="Times New Roman" w:eastAsia="Times New Roman" w:hAnsi="Times New Roman"/>
          <w:sz w:val="18"/>
          <w:szCs w:val="18"/>
          <w:color w:val="auto"/>
        </w:rPr>
        <w:t>The Company’s strategic partnership discussions with potential U.S.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have continued to progress and are now in what the Company believes are its late stages.</w:t>
      </w:r>
    </w:p>
    <w:p>
      <w:pPr>
        <w:spacing w:after="0" w:line="166" w:lineRule="exact"/>
        <w:rPr>
          <w:rFonts w:ascii="Times New Roman" w:cs="Times New Roman" w:eastAsia="Times New Roman" w:hAnsi="Times New Roman"/>
          <w:sz w:val="18"/>
          <w:szCs w:val="18"/>
          <w:color w:val="auto"/>
        </w:rPr>
      </w:pPr>
    </w:p>
    <w:p>
      <w:pPr>
        <w:jc w:val="both"/>
        <w:ind w:left="660" w:hanging="328"/>
        <w:spacing w:after="0" w:line="225" w:lineRule="exact"/>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SHIELD II Phase 3 Data Presented at Two Medical Congresses: </w:t>
      </w:r>
      <w:r>
        <w:rPr>
          <w:rFonts w:ascii="Times New Roman" w:cs="Times New Roman" w:eastAsia="Times New Roman" w:hAnsi="Times New Roman"/>
          <w:sz w:val="18"/>
          <w:szCs w:val="18"/>
          <w:color w:val="auto"/>
        </w:rPr>
        <w:t>At the 45th Annual Meeting of the Surgical Infection Society (SIS)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2026, an analysis of ASEPSIS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score data showed a 64% relative risk reduction (p=0.0103) in the proportion of patients with an ASEPSIS score greater than 20, the threshold for clinically significant wound infection, indicating that even among patients who experienced wound events in the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arm, severity was meaningfully reduced. The results imply better clinical outcomes and the potential for lower hospital resource utilization. At the European Society of Clinical Microbiology and Infectious Diseases Global 2026 Congress in April 2026, new pharmacokinetic data provided further evidence for the sustained, controlled release of doxycycline by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for approximately 30 days, with minimal systemic exposure.</w:t>
      </w:r>
    </w:p>
    <w:p>
      <w:pPr>
        <w:spacing w:after="0" w:line="244" w:lineRule="exact"/>
        <w:rPr>
          <w:rFonts w:ascii="Times New Roman" w:cs="Times New Roman" w:eastAsia="Times New Roman" w:hAnsi="Times New Roman"/>
          <w:sz w:val="18"/>
          <w:szCs w:val="18"/>
          <w:color w:val="auto"/>
        </w:rPr>
      </w:pPr>
    </w:p>
    <w:p>
      <w:pPr>
        <w:ind w:left="340" w:hanging="324"/>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ASEPSIS is an acronym of wound assessment and treatment parameters, which provides a numerical score during an inspection of the surgical site. The final score is interpreted by the severity of wound appearance and the clinical consequences of the infection. Parameters include: serous exudate, erythema, purulent exudate, separation of deep tissue and also antibiotic therapy, drainage of pus under local/general anesthesia, isolation of pathogenic bacteria and hospital stay as inpatient.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Upcoming Expected Milestones</w:t>
      </w:r>
    </w:p>
    <w:p>
      <w:pPr>
        <w:spacing w:after="0" w:line="188"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Completion of the NDA submission to the FDA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imminently.</w:t>
      </w:r>
    </w:p>
    <w:p>
      <w:pPr>
        <w:spacing w:after="0" w:line="225" w:lineRule="exact"/>
        <w:rPr>
          <w:rFonts w:ascii="Times New Roman" w:cs="Times New Roman" w:eastAsia="Times New Roman" w:hAnsi="Times New Roman"/>
          <w:sz w:val="18"/>
          <w:szCs w:val="18"/>
          <w:color w:val="auto"/>
        </w:rPr>
      </w:pPr>
    </w:p>
    <w:p>
      <w:pPr>
        <w:ind w:left="980" w:hanging="324"/>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Meetings with the EMA Rapporteur and Co-Rapporteur to discuss the planned MAA submission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in the second quarter of 2026.</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80" w:hanging="324"/>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Submission of the MAA to the EMA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under the Centralized Procedure on the basis of therapeutic innovation in the third quarter of 2026.</w:t>
      </w:r>
    </w:p>
    <w:p>
      <w:pPr>
        <w:spacing w:after="0" w:line="19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PDUFA target action date will be confirmed following NDA acceptance and planned for first quarter of 2027.</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first quarter of 2026 marked an important transition for PolyPid, as we moved from late-stage development to the final stage prior to drug approval, the regulatory review stage, with the initiation of our NDA submission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said Dikla Czaczkes Akselbrad, Chief Executive Officer of PolyPid. “With submission completion expected shortly and our U.S. commercial partnership discussions now in late stages, we are looking forward to implementing our launch plans. At the same time, additional Phase 3 data continues to reinforce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’s clinical and economic value proposition. We look forward to providing further updates as these milestones unfold.”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March 31, 2026</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three months ended March 31, 2026, were $5.8 million, compared to $6.1 million in the same three-month period of 2025. The decrease primarily reflects the completion of the SHIELD II Phase 3 trial and the Company’s ongoing transition toward regulatory submission and commercial readiness activities.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three months ended March 31, 2026, were $1.6 million, compared to $1.2 million for the same period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business development expenses for the three months ended March 31, 2026, were $0.4 million, compared to $0.3 million for the same period of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the Company had a net loss of $7.7 million, or ($0.35) per share, compared to a net loss of $8.3 million, or ($0.70) per share, in the three-month period ended March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had cash, cash equivalents, and short-term deposits of $10.9 million, compared to $12.9 million on December 31, 2025. The modest decrease - approximately $2 million - reflects continued operating activities, partially offset by proceeds from warrant exercises during the quarter.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May 2026, the Company completed the repayment of its remaining $0.8 million venture loan facility, originally entered into in April 2022. As a result, the Company has fully repaid its outstanding debt obligations and has no remaining loan-related liabilities as of the date of this press release.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long-time shareholders continued to exercise warrants, generating approximately $4.0 million in aggregate proceeds. Together with the preserved capital from the FDA’s PDUFA fee waiver, these developments further strengthen the Company’s financial position as it approaches key upcoming milestones.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its current cash resources will be sufficient to fund operations into the second half of 2026 and through several significant upcoming potential milestones.</w:t>
      </w:r>
    </w:p>
    <w:p>
      <w:pPr>
        <w:sectPr>
          <w:pgSz w:w="11900" w:h="16838" w:orient="portrait"/>
          <w:cols w:equalWidth="0" w:num="1">
            <w:col w:w="11240"/>
          </w:cols>
          <w:pgMar w:left="320" w:top="333"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Conference Call:</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Webcast: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May 13, 2026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 AM Eastern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https://register-conf.media-server.com/register/BI510ef0c33b114b5b87c2bd9d3c34e882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https://edge.media-server.com/mmc/p/w3mvdb4o</w:t>
      </w:r>
    </w:p>
    <w:p>
      <w:pPr>
        <w:spacing w:after="0" w:line="200" w:lineRule="exact"/>
        <w:rPr>
          <w:sz w:val="20"/>
          <w:szCs w:val="20"/>
          <w:color w:val="auto"/>
        </w:rPr>
      </w:pPr>
    </w:p>
    <w:p>
      <w:pPr>
        <w:sectPr>
          <w:pgSz w:w="11900" w:h="16838" w:orient="portrait"/>
          <w:cols w:equalWidth="0" w:num="2">
            <w:col w:w="1900" w:space="720"/>
            <w:col w:w="8620"/>
          </w:cols>
          <w:pgMar w:left="320" w:top="333"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Dial-In &amp; Webcast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PolyPid</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expected completion of the NDA submission, the Company’s expectation to hold a Scientific Advice meeting with the EMA to discuss the planned Marketing Authorization Application submission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and the expected timing thereof, the Company’s expectations regarding a U.S. strategic partnership and launch plans, the Company’s upcoming expected milestones,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’s clinical and economic value proposition and the Company’s expectation that its current cash resources will be sufficient to fund operations into the second half of 2026 and through several significant upcoming potential milestones.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Warshavsky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908-858-5995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IR@Polypid.com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American Equities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polypid@arxhq.com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6,402</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Pre-launch inventories</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37"/>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current assets</w:t>
            </w:r>
          </w:p>
        </w:tc>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12,560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15,227</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36"/>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long-term assets</w:t>
            </w:r>
          </w:p>
        </w:tc>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43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4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19,160</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444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32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7,048</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7,739</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3,595</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no par value *) -</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107,800,000 shares at March 31, 2026 and December 31, 2025, respectively; Issued and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19,174,078 and 18,204,002 shares at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312,473</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(309,228)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(301,500)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8,780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10,973</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8300" w:type="dxa"/>
            <w:vAlign w:val="bottom"/>
            <w:tcBorders>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19,160</w:t>
            </w: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68"/>
        </w:trPr>
        <w:tc>
          <w:tcPr>
            <w:tcW w:w="380" w:type="dxa"/>
            <w:vAlign w:val="bottom"/>
            <w:shd w:val="clear" w:color="auto" w:fill="CCEEFF"/>
          </w:tcPr>
          <w:p>
            <w:pPr>
              <w:spacing w:after="0"/>
              <w:rPr>
                <w:sz w:val="5"/>
                <w:szCs w:val="5"/>
                <w:color w:val="auto"/>
              </w:rPr>
            </w:pPr>
          </w:p>
        </w:tc>
        <w:tc>
          <w:tcPr>
            <w:tcW w:w="830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business development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 basic and diluted loss per share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21,924,193</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11,754,622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jpe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13" Type="http://schemas.openxmlformats.org/officeDocument/2006/relationships/hyperlink" Target="http://www.sec.gov/Archives/edgar/data/1611842/000121390024009108/ea192572-f3_polypidltd.htm" TargetMode="External"/><Relationship Id="rId14" Type="http://schemas.openxmlformats.org/officeDocument/2006/relationships/hyperlink" Target="http://www.sec.gov/Archives/edgar/data/1611842/000121390024058595/ea0208115-f3_polypidltd.htm" TargetMode="External"/><Relationship Id="rId15" Type="http://schemas.openxmlformats.org/officeDocument/2006/relationships/hyperlink" Target="http://www.sec.gov/Archives/edgar/data/1611842/000121390024074508/ea0212801-f3_polypidltd.htm" TargetMode="External"/><Relationship Id="rId16" Type="http://schemas.openxmlformats.org/officeDocument/2006/relationships/hyperlink" Target="https://www.sec.gov/Archives/edgar/data/1611842/000121390025004999/ea0227827-f3_polypid.htm" TargetMode="External"/><Relationship Id="rId17" Type="http://schemas.openxmlformats.org/officeDocument/2006/relationships/hyperlink" Target="http://www.sec.gov/Archives/edgar/data/1611842/000121390025068692/ea0250584-f3_polypid.htm" TargetMode="External"/><Relationship Id="rId18" Type="http://schemas.openxmlformats.org/officeDocument/2006/relationships/hyperlink" Target="http://www.sec.gov/Archives/edgar/data/1611842/000110465920077735/tm209265d11_s8.htm" TargetMode="External"/><Relationship Id="rId19" Type="http://schemas.openxmlformats.org/officeDocument/2006/relationships/hyperlink" Target="http://www.sec.gov/Archives/edgar/data/1611842/000121390023025649/ea176190-s8_polypid.htm" TargetMode="External"/><Relationship Id="rId20" Type="http://schemas.openxmlformats.org/officeDocument/2006/relationships/hyperlink" Target="http://www.sec.gov/Archives/edgar/data/1611842/000121390024020445/ea0201047-s8_polypid.htm" TargetMode="External"/><Relationship Id="rId21" Type="http://schemas.openxmlformats.org/officeDocument/2006/relationships/hyperlink" Target="http://www.sec.gov/Archives/edgar/data/1611842/000121390024058604/ea0208116-s8_polypid.htm" TargetMode="External"/><Relationship Id="rId22" Type="http://schemas.openxmlformats.org/officeDocument/2006/relationships/hyperlink" Target="http://www.sec.gov/Archives/edgar/data/1611842/000121390025075646/ea0252816-s8_polyp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2026-05-13T06:37:40Z</dcterms:created>
  <dcterms:modified xsi:type="dcterms:W3CDTF">2026-05-13T06:37:40Z</dcterms:modified>
</cp:coreProperties>
</file>