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0790-s8_polypid.htm"/>
      <w:bookmarkStart w:id="1" w:name="ksea0300790s8_polypid"/>
      <w:bookmarkEnd w:id="0"/>
      <w:bookmarkEnd w:id="1"/>
      <w:r>
        <w:rPr>
          <w:rFonts w:ascii="Times New Roman;Times;Serif" w:hAnsi="Times New Roman;Times;Serif"/>
          <w:b/>
          <w:i w:val="false"/>
          <w:caps w:val="false"/>
          <w:smallCaps w:val="false"/>
          <w:sz w:val="20"/>
        </w:rPr>
        <w:t>As filed with the Securities and Exchange Commission on August 12,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State of Israel</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249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4959376, Israel</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2012 Share Option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Dikla Czaczkes Akselbrad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Inc.</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 Franklin Ave.</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558</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Nutley, NJ 07110</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(908) 858-5995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495"/>
        <w:gridCol w:w="60"/>
        <w:gridCol w:w="4205"/>
      </w:tblGrid>
      <w:tr>
        <w:trPr/>
        <w:tc>
          <w:tcPr>
            <w:tcW w:w="24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Oded Har-Even, Esq.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Howard Berkenblit,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Sullivan &amp; Worcester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660-3000</w:t>
            </w:r>
          </w:p>
        </w:tc>
        <w:tc>
          <w:tcPr>
            <w:tcW w:w="60" w:type="dxa"/>
            <w:tcBorders/>
            <w:vAlign w:val="center"/>
          </w:tcPr>
          <w:p>
            <w:pPr>
              <w:pStyle w:val="TableContents"/>
              <w:bidi w:val="0"/>
              <w:spacing w:before="0" w:after="283"/>
              <w:jc w:val="center"/>
              <w:rPr/>
            </w:pPr>
            <w:r>
              <w:rPr/>
              <w:t> </w:t>
            </w:r>
          </w:p>
        </w:tc>
        <w:tc>
          <w:tcPr>
            <w:tcW w:w="42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 Reut Alfiah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 Gal Cohen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Sullivan &amp; Worcester Tel-Aviv (Har Even &amp; Co.)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HaArba’a St. HaArba’a Towers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Tower, 35th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Tel-Aviv, Israel 6473925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 74-758-0480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75"/>
        <w:gridCol w:w="1820"/>
        <w:gridCol w:w="230"/>
        <w:gridCol w:w="2270"/>
        <w:gridCol w:w="24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sz w:val="20"/>
              </w:rPr>
            </w:pPr>
            <w:r>
              <w:rPr>
                <w:sz w:val="20"/>
              </w:rPr>
              <w:t>Large accelerated filer</w:t>
            </w:r>
          </w:p>
        </w:tc>
        <w:tc>
          <w:tcPr>
            <w:tcW w:w="230" w:type="dxa"/>
            <w:tcBorders/>
            <w:vAlign w:val="center"/>
          </w:tcPr>
          <w:p>
            <w:pPr>
              <w:pStyle w:val="TableContents"/>
              <w:bidi w:val="0"/>
              <w:spacing w:before="0" w:after="283"/>
              <w:jc w:val="both"/>
              <w:rPr/>
            </w:pPr>
            <w:r>
              <w:rPr/>
              <w:t>☐</w:t>
            </w:r>
          </w:p>
        </w:tc>
        <w:tc>
          <w:tcPr>
            <w:tcW w:w="2270" w:type="dxa"/>
            <w:tcBorders/>
            <w:vAlign w:val="center"/>
          </w:tcPr>
          <w:p>
            <w:pPr>
              <w:pStyle w:val="TableContents"/>
              <w:bidi w:val="0"/>
              <w:spacing w:before="0" w:after="283"/>
              <w:jc w:val="both"/>
              <w:rPr>
                <w:sz w:val="20"/>
              </w:rPr>
            </w:pPr>
            <w:r>
              <w:rPr>
                <w:sz w:val="20"/>
              </w:rPr>
              <w:t xml:space="preserve">Accelerated filer </w:t>
            </w:r>
          </w:p>
        </w:tc>
        <w:tc>
          <w:tcPr>
            <w:tcW w:w="245" w:type="dxa"/>
            <w:tcBorders/>
            <w:vAlign w:val="center"/>
          </w:tcPr>
          <w:p>
            <w:pPr>
              <w:pStyle w:val="TableContents"/>
              <w:bidi w:val="0"/>
              <w:spacing w:before="0" w:after="283"/>
              <w:jc w:val="both"/>
              <w:rPr/>
            </w:pPr>
            <w:r>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sz w:val="20"/>
              </w:rPr>
            </w:pPr>
            <w:r>
              <w:rPr>
                <w:sz w:val="20"/>
              </w:rPr>
              <w:t xml:space="preserve">Non-accelerated filer </w:t>
            </w:r>
          </w:p>
        </w:tc>
        <w:tc>
          <w:tcPr>
            <w:tcW w:w="230" w:type="dxa"/>
            <w:tcBorders/>
            <w:vAlign w:val="center"/>
          </w:tcPr>
          <w:p>
            <w:pPr>
              <w:pStyle w:val="TableContents"/>
              <w:bidi w:val="0"/>
              <w:spacing w:before="0" w:after="283"/>
              <w:jc w:val="both"/>
              <w:rPr/>
            </w:pPr>
            <w:r>
              <w:rPr/>
              <w:t>☒</w:t>
            </w:r>
          </w:p>
        </w:tc>
        <w:tc>
          <w:tcPr>
            <w:tcW w:w="2270" w:type="dxa"/>
            <w:tcBorders/>
            <w:vAlign w:val="center"/>
          </w:tcPr>
          <w:p>
            <w:pPr>
              <w:pStyle w:val="TableContents"/>
              <w:bidi w:val="0"/>
              <w:spacing w:before="0" w:after="283"/>
              <w:jc w:val="both"/>
              <w:rPr>
                <w:sz w:val="20"/>
              </w:rPr>
            </w:pPr>
            <w:r>
              <w:rPr>
                <w:sz w:val="20"/>
              </w:rPr>
              <w:t xml:space="preserve">Smaller reporting company </w:t>
            </w:r>
          </w:p>
        </w:tc>
        <w:tc>
          <w:tcPr>
            <w:tcW w:w="245" w:type="dxa"/>
            <w:tcBorders/>
            <w:vAlign w:val="center"/>
          </w:tcPr>
          <w:p>
            <w:pPr>
              <w:pStyle w:val="TableContents"/>
              <w:bidi w:val="0"/>
              <w:spacing w:before="0" w:after="283"/>
              <w:jc w:val="both"/>
              <w:rPr/>
            </w:pPr>
            <w:r>
              <w:rPr/>
              <w:t>☐</w:t>
            </w:r>
          </w:p>
        </w:tc>
      </w:tr>
      <w:tr>
        <w:trPr/>
        <w:tc>
          <w:tcPr>
            <w:tcW w:w="75" w:type="dxa"/>
            <w:tcBorders/>
            <w:vAlign w:val="center"/>
          </w:tcPr>
          <w:p>
            <w:pPr>
              <w:pStyle w:val="TableContents"/>
              <w:bidi w:val="0"/>
              <w:spacing w:before="0" w:after="283"/>
              <w:jc w:val="left"/>
              <w:rPr/>
            </w:pPr>
            <w:r>
              <w:rPr/>
              <w:t> </w:t>
            </w:r>
          </w:p>
        </w:tc>
        <w:tc>
          <w:tcPr>
            <w:tcW w:w="2050" w:type="dxa"/>
            <w:gridSpan w:val="2"/>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both"/>
              <w:rPr>
                <w:sz w:val="20"/>
              </w:rPr>
            </w:pPr>
            <w:r>
              <w:rPr>
                <w:sz w:val="20"/>
              </w:rPr>
              <w:t xml:space="preserve">Emerging growth company </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Registration Statement on Form S-8, or the Registration Statement, is to register 1,500,000 additional ordinary shares, no par value per share, or the Ordinary Shares, of PolyPid Ltd., or the Registrant or the Company, to be reserved for issuance under the PolyPid Ltd. Amended and Restated 2012 Share Option Plan, or the Plan, which are in addition to the 3,512,403 Ordinary Shares under the Plan registered on the Company’s Registration Statements on Form S-8 filed by the Registrant with the Securities and Exchange Commission, or the Commission, on June 29, 2020 (File No. 333-239517), March 31, 2023 (File No. 333-271060), March 6, 2024 (File No. 333-277703), July 2, 2024 (File No. 333-280662), and August 13, 2025 (File No. 333-289570) or, collectively, the Prior Registration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securities of the same class as those to which the Prior Registration Statements relate and is submitted in accordance with General Instruction E to Form S-8 regarding Registration of Additional Securities. Pursuant to Instruction E of Form S-8, the contents of the Prior Registration Statements are incorporated herein by reference and made part of this Registration Statement, except as amended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Form S-8 is omitted from this Registration Statement. The documents containing the information specified in Part I of Form S-8 will be delivered to the participants in the plans covered by this Registration Statement as specified by Rule 428(b)(1)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into this Registration Statement: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(a)</w:t>
            </w:r>
          </w:p>
        </w:tc>
        <w:tc>
          <w:tcPr>
            <w:tcW w:w="9937" w:type="dxa"/>
            <w:tcBorders/>
            <w:vAlign w:val="center"/>
          </w:tcPr>
          <w:p>
            <w:pPr>
              <w:pStyle w:val="TableContents"/>
              <w:bidi w:val="0"/>
              <w:spacing w:before="0" w:after="283"/>
              <w:jc w:val="both"/>
              <w:rPr/>
            </w:pPr>
            <w:r>
              <w:rPr>
                <w:sz w:val="20"/>
              </w:rPr>
              <w:t xml:space="preserve">The Registrant’s Annual Report on </w:t>
            </w:r>
            <w:hyperlink r:id="rId2">
              <w:r>
                <w:rPr>
                  <w:rStyle w:val="InternetLink"/>
                  <w:sz w:val="20"/>
                </w:rPr>
                <w:t>Form 20-F</w:t>
              </w:r>
            </w:hyperlink>
            <w:r>
              <w:rPr/>
              <w:t xml:space="preserve"> </w:t>
            </w:r>
            <w:r>
              <w:rPr>
                <w:sz w:val="20"/>
              </w:rPr>
              <w:t xml:space="preserve">for the fiscal year ended December 31, 2025, filed with the Commission on February 25, 2026;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 xml:space="preserve">(b) </w:t>
            </w:r>
          </w:p>
        </w:tc>
        <w:tc>
          <w:tcPr>
            <w:tcW w:w="9937" w:type="dxa"/>
            <w:tcBorders/>
            <w:vAlign w:val="center"/>
          </w:tcPr>
          <w:p>
            <w:pPr>
              <w:pStyle w:val="TableContents"/>
              <w:bidi w:val="0"/>
              <w:spacing w:before="0" w:after="283"/>
              <w:jc w:val="both"/>
              <w:rPr/>
            </w:pPr>
            <w:r>
              <w:rPr>
                <w:sz w:val="20"/>
              </w:rPr>
              <w:t xml:space="preserve">The Company’s reports of foreign private issuer on Form 6-K furnished to the SEC on </w:t>
            </w:r>
            <w:hyperlink r:id="rId3">
              <w:r>
                <w:rPr>
                  <w:rStyle w:val="InternetLink"/>
                  <w:sz w:val="20"/>
                </w:rPr>
                <w:t>March 31, 2026</w:t>
              </w:r>
            </w:hyperlink>
            <w:r>
              <w:rPr>
                <w:sz w:val="20"/>
              </w:rPr>
              <w:t xml:space="preserve"> (with respect to the  first two paragraphs and the section titled “Forward-looking Statements” in the press release attached as Exhibit 99.1), </w:t>
            </w:r>
            <w:hyperlink r:id="rId4">
              <w:r>
                <w:rPr>
                  <w:rStyle w:val="InternetLink"/>
                  <w:sz w:val="20"/>
                </w:rPr>
                <w:t>May 13, 2026</w:t>
              </w:r>
            </w:hyperlink>
            <w:r>
              <w:rPr>
                <w:sz w:val="20"/>
              </w:rPr>
              <w:t xml:space="preserve"> (with respect to the bullet points under the section titled “Recent Corporate Highlights,” the sections titled “Financial results for the three months ended March 31, 2026,” “Balance Sheet Highlights,” and “Forward-looking Statements” and the financial statements in the press release attached as Exhibit 99.1), </w:t>
            </w:r>
            <w:hyperlink r:id="rId5">
              <w:r>
                <w:rPr>
                  <w:rStyle w:val="InternetLink"/>
                  <w:sz w:val="20"/>
                </w:rPr>
                <w:t>June 1, 2026</w:t>
              </w:r>
            </w:hyperlink>
            <w:r>
              <w:rPr>
                <w:sz w:val="20"/>
              </w:rPr>
              <w:t xml:space="preserve"> (with respect to the first two paragraphs and “Forward-looking Statements” in the press release attached as Exhibit 99.1), </w:t>
            </w:r>
            <w:hyperlink r:id="rId6">
              <w:r>
                <w:rPr>
                  <w:rStyle w:val="InternetLink"/>
                  <w:sz w:val="20"/>
                </w:rPr>
                <w:t>June 10, 2026</w:t>
              </w:r>
            </w:hyperlink>
            <w:r>
              <w:rPr>
                <w:sz w:val="20"/>
              </w:rPr>
              <w:t xml:space="preserve">, </w:t>
            </w:r>
            <w:hyperlink r:id="rId7">
              <w:r>
                <w:rPr>
                  <w:rStyle w:val="InternetLink"/>
                  <w:sz w:val="20"/>
                </w:rPr>
                <w:t>July 15, 2026</w:t>
              </w:r>
            </w:hyperlink>
            <w:r>
              <w:rPr>
                <w:sz w:val="20"/>
              </w:rPr>
              <w:t xml:space="preserve">, </w:t>
            </w:r>
            <w:hyperlink r:id="rId8">
              <w:r>
                <w:rPr>
                  <w:rStyle w:val="InternetLink"/>
                  <w:sz w:val="20"/>
                </w:rPr>
                <w:t>July 21, 2026</w:t>
              </w:r>
            </w:hyperlink>
            <w:r>
              <w:rPr>
                <w:sz w:val="20"/>
              </w:rPr>
              <w:t xml:space="preserve"> (excluding the press release attached as Exhibit 99.1), </w:t>
            </w:r>
            <w:hyperlink r:id="rId9">
              <w:r>
                <w:rPr>
                  <w:rStyle w:val="InternetLink"/>
                  <w:sz w:val="20"/>
                </w:rPr>
                <w:t>July 29, 2026</w:t>
              </w:r>
            </w:hyperlink>
            <w:r>
              <w:rPr>
                <w:sz w:val="20"/>
              </w:rPr>
              <w:t xml:space="preserve"> (with respect to the first, third and fourth paragraphs and the section titled “Forward-looking Statements” in the press release attached as exhibit 99.1) and </w:t>
            </w:r>
            <w:hyperlink r:id="rId10">
              <w:r>
                <w:rPr>
                  <w:rStyle w:val="InternetLink"/>
                  <w:sz w:val="20"/>
                </w:rPr>
                <w:t>August 12, 2026</w:t>
              </w:r>
            </w:hyperlink>
            <w:r>
              <w:rPr>
                <w:sz w:val="20"/>
              </w:rPr>
              <w:t xml:space="preserve"> (with respect to the bullet points under the section titled “Recent Corporate Highlights,” the sections titled “Financial results for the three months ended June 30, 2026,” “Financial results for the six months ended June 30, 2026,” “Balance Sheet Highlights,” and “Forward-looking Statements” and the financial statements in the press release attached as Exhibit 99.1); and</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(c)</w:t>
            </w:r>
          </w:p>
        </w:tc>
        <w:tc>
          <w:tcPr>
            <w:tcW w:w="9937" w:type="dxa"/>
            <w:tcBorders/>
            <w:vAlign w:val="center"/>
          </w:tcPr>
          <w:p>
            <w:pPr>
              <w:pStyle w:val="TableContents"/>
              <w:bidi w:val="0"/>
              <w:spacing w:before="0" w:after="283"/>
              <w:jc w:val="both"/>
              <w:rPr/>
            </w:pPr>
            <w:r>
              <w:rPr>
                <w:sz w:val="20"/>
              </w:rPr>
              <w:t xml:space="preserve">The description of the Registrant’s Ordinary Shares which is contained in the Registrant’s Registration Statement on </w:t>
            </w:r>
            <w:hyperlink r:id="rId11">
              <w:r>
                <w:rPr>
                  <w:rStyle w:val="InternetLink"/>
                  <w:sz w:val="20"/>
                </w:rPr>
                <w:t>Form 8-A</w:t>
              </w:r>
            </w:hyperlink>
            <w:r>
              <w:rPr/>
              <w:t xml:space="preserve"> </w:t>
            </w:r>
            <w:r>
              <w:rPr>
                <w:sz w:val="20"/>
              </w:rPr>
              <w:t xml:space="preserve">filed on June 18, 2020 (File No. 001-38428) under the Securities Exchange Act of 1934, as amended, or the Exchange Act, as amended by </w:t>
            </w:r>
            <w:hyperlink r:id="rId12">
              <w:r>
                <w:rPr>
                  <w:rStyle w:val="InternetLink"/>
                  <w:sz w:val="20"/>
                </w:rPr>
                <w:t>Exhibit 2.3</w:t>
              </w:r>
            </w:hyperlink>
            <w:r>
              <w:rPr/>
              <w:t xml:space="preserve"> </w:t>
            </w:r>
            <w:r>
              <w:rPr>
                <w:sz w:val="20"/>
              </w:rPr>
              <w:t xml:space="preserve">to the Registrant’s Annual Report on </w:t>
            </w:r>
            <w:hyperlink r:id="rId13">
              <w:r>
                <w:rPr>
                  <w:rStyle w:val="InternetLink"/>
                  <w:sz w:val="20"/>
                </w:rPr>
                <w:t>Form 20-F</w:t>
              </w:r>
            </w:hyperlink>
            <w:r>
              <w:rPr/>
              <w:t xml:space="preserve"> </w:t>
            </w:r>
            <w:r>
              <w:rPr>
                <w:sz w:val="20"/>
              </w:rPr>
              <w:t>for the year ended December 31, 2025, and including any further amendment or report filed or to be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5759-2999, or the Israeli Companies Law, and the Israeli Securities Law, 5728-1968, or the Securities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financial liability imposed on him or her in favor of another person by any judgment concerning an act performed in his or her capacity as an office holder, including a settlement or arbitrator’s award approved by a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Israeli Companies Law) was filed against such office holder as a result of such investigation or proceeding; and (2) no financial liability as a substitute for the criminal proceeding (as defined in the Israeli Companies Law) was imposed upon him or her as a result of such investigation or proceeding, or, if such financial liability was imposed, it was imposed with respect to an offense that does not require proof of criminal intent; or (b) in connection with a monetary sanction;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expenses incurred by an office holder in connection with an Administrative Procedure under the Securities Law, including reasonable litigation expenses and reasonable attorney’s fees. An “Administrative Procedure” is defined as a procedure pursuant to chapters H3 (Monetary Sanction by the Israeli Securities Authority), H4 (Administrative Enforcement Procedures of the Administrative Enforcement Committee) or I1 (Arrangement to prevent the Initiation of Procedures or to Conclude Proceedings, subject to conditions) to the Securities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also permits a company to undertake in advance to indemnify an office holder, provided that if such indemnification relates to financial liability imposed on him or her, as described above, then the undertaking should be limited and shall detail the following foreseen events and amount or criteria: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events that in the opinion of the board of directors can be foreseen based on the company’s activities at the time that the undertaking to indemnify is made;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amount or criteria determined by the board of directors, at the time of the giving of such undertaking to indemnify, to be reasonable under the circumstances.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all of our directors and with all members of our senior management. Each such indemnification agreement provides the office holder with indemnification permitted under applicable law and our amended and restated articles of association, and up to a certain amount, and to the extent that these liabilities are not covered by directors and officers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insure an office holder against the following liabilities incurred for acts performed as an office holder if and to the extent provided in the company’s articles of association: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breach of the duty of loyalty to the company, to the extent that the office holder acted in good faith and had a reasonable basis to believe that the act would not harm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breach of the duty of care to the company or to a third-party, including a breach arising out of the negligent conduct of the office holder; and</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a financial liability imposed on the office holder in favor of a third-party.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an Israeli company may not exempt an office holder from liability for a breach of his or her duty of loyalty, but may exempt in advance an office holder from his or her liability to the company, in whole or in part, for damages caused to the company as a result of a breach of his or her duty of care (other than in relation to distributions), but only if a provision authorizing such exemption is included in its articles of association. Our amended and restated articles of association provide that we may exempt, in whole or in part, any office holder from liability to us for damages caused to the company as a result of a breach of his or her duty of care. Subject to the aforesaid limitations, under the indemnification agreements, we will exempt our office holders from any and all liability to us related to any breach by them of their duty of care to us to the fullest extent permitted by law, while acting in good faith and having reasonable cause to assume that such act or omission would not prejudice the interests of the Company, provided that the indemnitee shall not be exempt with respect to any action or omission as to which, under applicable law, the Company is not entitled to exculpate the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provides that we may not exempt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exemption) the office holder acted in good faith and had a reasonable basis to believe that the act would not prejudice us; (2) a breach by the office holder of his or her duty of care if the breach was carried out intentionally or recklessly (as opposed to merely negligently); (3) any act or omission committed with the intent to derive an illegal personal benefit; or (4) any fine, monetary sanction, penalty or forfeit levied against the office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exemption, indemnification and insurance of office holders in a public company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that was approved by the shareholders by the same special majority required to approve a compensation policy, provided that the insurance policy is on market terms and the insurance policy is not likely to materially impact the company’s profitability, assets or obligations. In addition, under regulations promulgated under the Companies Law, the insurance of office holders of a company in which there is a controlling shareholder who is also an office holder, a board approval is also required, subject to meeting the aforesaid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to be effective upon the closing of this offering will permit us to exempt, indemnify and insure our office holders to the fullest extent permitted or to be permitted by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obtain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exempting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the indemnification for liabilities arising under the Securities Act of 1933, as amended, or the Securities Act, may be permitted to directors, officers or persons controlling the registrant,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sz w:val="20"/>
              </w:rPr>
            </w:pPr>
            <w:r>
              <w:rPr>
                <w:sz w:val="20"/>
              </w:rPr>
              <w:t>4.1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14">
              <w:r>
                <w:rPr>
                  <w:rStyle w:val="InternetLink"/>
                  <w:sz w:val="20"/>
                </w:rPr>
                <w:t>Amended and Restated Articles of Association of PolyPid Ltd., filed as Exhibit 99.1 to Form 6-K (File No. 001-38428) filed on May 8, 2023, and incorporated herein by reference.</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5.1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ea030079001ex5-1.htm">
              <w:r>
                <w:rPr>
                  <w:rStyle w:val="InternetLink"/>
                  <w:sz w:val="20"/>
                </w:rPr>
                <w:t>Opinion of Sullivan &amp; Worcester Tel-Aviv (Har-Even &amp; Co.).</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both"/>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ea030079001ex23-1.htm">
              <w:r>
                <w:rPr>
                  <w:rStyle w:val="InternetLink"/>
                  <w:sz w:val="20"/>
                </w:rPr>
                <w:t>Consent of Kost, Forer, Gabbay &amp; Kasierer, Certified Public Accountants (Israel), an independent registered public accounting firm and a member firm of EY Global.</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23.2</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ea030079001ex5-1.htm">
              <w:r>
                <w:rPr>
                  <w:rStyle w:val="InternetLink"/>
                  <w:sz w:val="20"/>
                </w:rPr>
                <w:t>Consent of Sullivan &amp; Worcester Tel Aviv (Har-Even &amp; Co.) (included in the opinion filed as Exhibit 5.1 to this Registration Statement).</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24.1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a_001">
              <w:r>
                <w:rPr>
                  <w:rStyle w:val="InternetLink"/>
                  <w:sz w:val="20"/>
                </w:rPr>
                <w:t>Power of Attorney (included on signature page to this Registration Statement).</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15">
              <w:r>
                <w:rPr>
                  <w:rStyle w:val="InternetLink"/>
                  <w:sz w:val="20"/>
                </w:rPr>
                <w:t>Amended and Restated PolyPid Ltd. 2012 Share Option Plan, filed as Exhibit 99.1 to Form 6-K (File No. 001-38428) filed on July 15, 2026 and incorporated herein by reference.</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107</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ea0300790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Petach Tikva, Israel, on August 12, 2026.</w:t>
      </w:r>
    </w:p>
    <w:p>
      <w:pPr>
        <w:pStyle w:val="TextBody"/>
        <w:bidi w:val="0"/>
        <w:spacing w:before="0" w:after="0"/>
        <w:ind w:left="0" w:right="0" w:firstLine="72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590"/>
        <w:gridCol w:w="2435"/>
      </w:tblGrid>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POLYPID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Dikla Czaczkes Akselbrad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Dikla Czaczkes Akselbrad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PolyPid Ltd. hereby constitute and appoint Dikla Czaczkes Akselbrad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Securities and Exchange Commission, granting unto said attorney full power and authority to do and perform each and every act and thing requisite or necessary to be done in and about the premises, as fully to all intents and purposes as she might or could do in person, hereby ratifying and confirming our signatures to said amendments to this Registration Statement signed by our said attorney and all else that said attorney may lawfully do and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on Form S-8 has been signed below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430" w:type="dxa"/>
        <w:jc w:val="left"/>
        <w:tblInd w:w="0" w:type="dxa"/>
        <w:tblLayout w:type="fixed"/>
        <w:tblCellMar>
          <w:top w:w="0" w:type="dxa"/>
          <w:left w:w="0" w:type="dxa"/>
          <w:bottom w:w="28" w:type="dxa"/>
          <w:right w:w="0" w:type="dxa"/>
        </w:tblCellMar>
      </w:tblPr>
      <w:tblGrid>
        <w:gridCol w:w="2570"/>
        <w:gridCol w:w="60"/>
        <w:gridCol w:w="4355"/>
        <w:gridCol w:w="60"/>
        <w:gridCol w:w="1385"/>
      </w:tblGrid>
      <w:tr>
        <w:trPr/>
        <w:tc>
          <w:tcPr>
            <w:tcW w:w="25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4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Dikla Czaczkes Akselbrad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Dikla Czaczkes Akselbrad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Jonny Missulawin</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Jonny Missulawin</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Officer and Accounting Officer)</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Brooke Story</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Brooke Story</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Yechezkel Barenholz, Ph.D.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Yechezkel Barenholz, Ph.D.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Joseph BenAmram</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BenAmram</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Nir Dror</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Nir Dror</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Yitzchak Jacobovitz</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Yitzchak Jacobovitz</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righ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Itzhak Krinsky, Ph.D.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Itzhak Krinsky, Ph.D.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Robert B. Stein, M.D., Ph.D.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2026</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 Stein, M.D., Ph.D.</w:t>
            </w:r>
          </w:p>
        </w:tc>
        <w:tc>
          <w:tcPr>
            <w:tcW w:w="60" w:type="dxa"/>
            <w:tcBorders/>
            <w:tcMar>
              <w:bottom w:w="0" w:type="dxa"/>
            </w:tcMar>
            <w:vAlign w:val="center"/>
          </w:tcPr>
          <w:p>
            <w:pPr>
              <w:pStyle w:val="TableContents"/>
              <w:bidi w:val="0"/>
              <w:spacing w:before="0" w:after="283"/>
              <w:jc w:val="both"/>
              <w:rPr/>
            </w:pPr>
            <w:r>
              <w:rPr/>
              <w:t> </w:t>
            </w:r>
          </w:p>
        </w:tc>
        <w:tc>
          <w:tcPr>
            <w:tcW w:w="4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THE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the undersigned, the duly authorized representative in the United States of the registrant has signed this registration statement or amendment thereto on August 12, 2026.</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320"/>
        <w:gridCol w:w="2435"/>
      </w:tblGrid>
      <w:tr>
        <w:trPr/>
        <w:tc>
          <w:tcPr>
            <w:tcW w:w="75"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PolyPid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Dikla Czaczkes Akselbrad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Dikla Czaczkes Akselbrad </w:t>
              <w:br/>
              <w:t>Director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 w:name="ea030079001ex5-1.htm"/>
      <w:bookmarkStart w:id="4" w:name="ksea030079001ex51"/>
      <w:bookmarkEnd w:id="3"/>
      <w:bookmarkEnd w:id="4"/>
      <w:r>
        <w:rPr>
          <w:rFonts w:ascii="Times New Roman;Times;Serif" w:hAnsi="Times New Roman;Times;Serif"/>
          <w:b/>
          <w:i w:val="false"/>
          <w:caps w:val="false"/>
          <w:smallCaps w:val="false"/>
          <w:sz w:val="20"/>
        </w:rPr>
        <w:t>Exhibit 5.1</w:t>
      </w:r>
      <w:r>
        <w:br w:type="page"/>
      </w:r>
    </w:p>
    <w:p>
      <w:pPr>
        <w:pStyle w:val="TextBody"/>
        <w:shd w:fill="FFFFFF" w:val="clear"/>
        <w:bidi w:val="0"/>
        <w:spacing w:before="0" w:after="0"/>
        <w:ind w:left="713" w:right="713" w:hanging="0"/>
        <w:jc w:val="righ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2340"/>
        <w:gridCol w:w="2780"/>
        <w:gridCol w:w="1460"/>
      </w:tblGrid>
      <w:tr>
        <w:trPr/>
        <w:tc>
          <w:tcPr>
            <w:tcW w:w="2340" w:type="dxa"/>
            <w:tcBorders/>
            <w:vAlign w:val="center"/>
          </w:tcPr>
          <w:p>
            <w:pPr>
              <w:pStyle w:val="TableContents"/>
              <w:bidi w:val="0"/>
              <w:spacing w:before="0" w:after="283"/>
              <w:jc w:val="left"/>
              <w:rPr/>
            </w:pPr>
            <w:r>
              <w:rPr/>
              <w:drawing>
                <wp:inline distT="0" distB="0" distL="0" distR="0">
                  <wp:extent cx="14763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476375" cy="600075"/>
                          </a:xfrm>
                          <a:prstGeom prst="rect">
                            <a:avLst/>
                          </a:prstGeom>
                        </pic:spPr>
                      </pic:pic>
                    </a:graphicData>
                  </a:graphic>
                </wp:inline>
              </w:drawing>
            </w:r>
          </w:p>
        </w:tc>
        <w:tc>
          <w:tcPr>
            <w:tcW w:w="2780" w:type="dxa"/>
            <w:tcBorders/>
            <w:vAlign w:val="center"/>
          </w:tcPr>
          <w:p>
            <w:pPr>
              <w:pStyle w:val="TableContents"/>
              <w:bidi w:val="0"/>
              <w:spacing w:before="0" w:after="283"/>
              <w:jc w:val="left"/>
              <w:rPr>
                <w:sz w:val="20"/>
              </w:rPr>
            </w:pPr>
            <w:r>
              <w:rPr>
                <w:b/>
                <w:sz w:val="20"/>
              </w:rPr>
              <w:t>Sullivan &amp; Worcester Tel Aviv</w:t>
              <w:br/>
            </w:r>
            <w:r>
              <w:rPr>
                <w:sz w:val="20"/>
              </w:rPr>
              <w:t xml:space="preserve">28 HaArba’a St. HaArba’a Towers </w:t>
              <w:br/>
              <w:t xml:space="preserve">North Tower, 14th Floor </w:t>
              <w:br/>
              <w:t xml:space="preserve">Tel-Aviv, Israel </w:t>
            </w:r>
          </w:p>
        </w:tc>
        <w:tc>
          <w:tcPr>
            <w:tcW w:w="1460" w:type="dxa"/>
            <w:tcBorders/>
            <w:vAlign w:val="center"/>
          </w:tcPr>
          <w:p>
            <w:pPr>
              <w:pStyle w:val="TableContents"/>
              <w:bidi w:val="0"/>
              <w:spacing w:before="0" w:after="283"/>
              <w:jc w:val="left"/>
              <w:rPr>
                <w:sz w:val="20"/>
              </w:rPr>
            </w:pPr>
            <w:r>
              <w:rPr>
                <w:sz w:val="20"/>
              </w:rPr>
              <w:t>+972-747580480</w:t>
              <w:br/>
              <w:t>sullivanlaw.com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2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13" w:right="71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shd w:fill="FFFFFF" w:val="clear"/>
        <w:bidi w:val="0"/>
        <w:spacing w:before="0" w:after="0"/>
        <w:ind w:left="713" w:right="71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w:t>
      </w:r>
    </w:p>
    <w:p>
      <w:pPr>
        <w:pStyle w:val="TextBody"/>
        <w:shd w:fill="FFFFFF" w:val="clear"/>
        <w:bidi w:val="0"/>
        <w:spacing w:before="0" w:after="0"/>
        <w:ind w:left="713" w:right="71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Hasivim Street</w:t>
      </w:r>
    </w:p>
    <w:p>
      <w:pPr>
        <w:pStyle w:val="TextBody"/>
        <w:shd w:fill="FFFFFF" w:val="clear"/>
        <w:bidi w:val="0"/>
        <w:spacing w:before="0" w:after="0"/>
        <w:ind w:left="713" w:right="71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4959376, Israel</w:t>
      </w:r>
    </w:p>
    <w:p>
      <w:pPr>
        <w:pStyle w:val="TextBody"/>
        <w:shd w:fill="FFFFFF" w:val="clear"/>
        <w:bidi w:val="0"/>
        <w:spacing w:before="0" w:after="0"/>
        <w:ind w:left="713" w:right="713" w:hanging="0"/>
        <w:jc w:val="left"/>
        <w:rPr>
          <w:caps w:val="false"/>
          <w:smallCaps w:val="false"/>
        </w:rPr>
      </w:pPr>
      <w:r>
        <w:rPr>
          <w:caps w:val="false"/>
          <w:smallCaps w:val="false"/>
        </w:rPr>
        <w:t> </w:t>
      </w:r>
    </w:p>
    <w:p>
      <w:pPr>
        <w:pStyle w:val="TextBody"/>
        <w:shd w:fill="FFFFFF" w:val="clear"/>
        <w:bidi w:val="0"/>
        <w:spacing w:before="0" w:after="0"/>
        <w:ind w:left="713" w:right="71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u w:val="single"/>
        </w:rPr>
        <w:t>Registration Statement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for PolyPid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on the date hereof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Registration Statement relates to an additional 1,500,000 ordinary shares of the Company, no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issuable under the Company’s Amended and Restated 2012 Share Option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originals, or photocopies or copies, certified or otherwise identified to our satisfaction, of: (i) the Registration Statement to which this opinion is attached as an exhibit; (ii) a copy of the amended and restated articles of association of the Company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as currently in effect; (iii) resolutions of the board of directors which relate to the Registration Statement and the Plan; and (iv) such other corporate records, agreements, documents and other instruments, an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 In addition, we have assumed that the Ordinary Shares and any equity awards that provide for the acquisition thereof will be granted in accordance with the Plan and the Articles.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Ordinary Shares issuable under the Plan have been duly authorized and, when issued and paid for in accordance with the terms of the Plan and applicable option grant, will be validly issued, fully paid and non-assessable.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to the reference to our firm wherever appearing in the Registration Statement in connection with Israeli law.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75"/>
        <w:gridCol w:w="5120"/>
      </w:tblGrid>
      <w:tr>
        <w:trPr/>
        <w:tc>
          <w:tcPr>
            <w:tcW w:w="75" w:type="dxa"/>
            <w:tcBorders/>
            <w:vAlign w:val="center"/>
          </w:tcPr>
          <w:p>
            <w:pPr>
              <w:pStyle w:val="TableContents"/>
              <w:bidi w:val="0"/>
              <w:spacing w:before="0" w:after="283"/>
              <w:jc w:val="both"/>
              <w:rPr/>
            </w:pPr>
            <w:r>
              <w:rPr/>
              <w:t> </w:t>
            </w:r>
          </w:p>
        </w:tc>
        <w:tc>
          <w:tcPr>
            <w:tcW w:w="512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both"/>
              <w:rPr/>
            </w:pPr>
            <w:r>
              <w:rPr/>
              <w:t> </w:t>
            </w:r>
          </w:p>
        </w:tc>
        <w:tc>
          <w:tcPr>
            <w:tcW w:w="5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120" w:type="dxa"/>
            <w:tcBorders/>
            <w:vAlign w:val="center"/>
          </w:tcPr>
          <w:p>
            <w:pPr>
              <w:pStyle w:val="TableContents"/>
              <w:bidi w:val="0"/>
              <w:spacing w:before="0" w:after="283"/>
              <w:jc w:val="left"/>
              <w:rPr/>
            </w:pPr>
            <w:r>
              <w:rPr/>
              <w:t xml:space="preserve">/s/ Sullivan &amp; Worcester Tel-Aviv (Har-Even &amp; Co.) </w:t>
            </w:r>
          </w:p>
        </w:tc>
      </w:tr>
      <w:tr>
        <w:trPr/>
        <w:tc>
          <w:tcPr>
            <w:tcW w:w="75" w:type="dxa"/>
            <w:tcBorders/>
            <w:vAlign w:val="center"/>
          </w:tcPr>
          <w:p>
            <w:pPr>
              <w:pStyle w:val="TableContents"/>
              <w:bidi w:val="0"/>
              <w:spacing w:before="0" w:after="283"/>
              <w:jc w:val="both"/>
              <w:rPr/>
            </w:pPr>
            <w:r>
              <w:rPr/>
              <w:t> </w:t>
            </w:r>
          </w:p>
        </w:tc>
        <w:tc>
          <w:tcPr>
            <w:tcW w:w="5120" w:type="dxa"/>
            <w:tcBorders/>
            <w:vAlign w:val="center"/>
          </w:tcPr>
          <w:p>
            <w:pPr>
              <w:pStyle w:val="TableContents"/>
              <w:bidi w:val="0"/>
              <w:spacing w:before="0" w:after="283"/>
              <w:jc w:val="left"/>
              <w:rPr/>
            </w:pPr>
            <w:r>
              <w:rPr/>
              <w:t>Sullivan &amp; Worcester Tel-Aviv (Har-Even &amp; 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ea030079001ex23-1.htm"/>
      <w:bookmarkStart w:id="6" w:name="ksea030079001ex231"/>
      <w:bookmarkEnd w:id="5"/>
      <w:bookmarkEnd w:id="6"/>
      <w:r>
        <w:rPr>
          <w:b/>
        </w:rPr>
        <w:t>Exhibit 23.1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Amended and Restated 2012 Share Option Plan of PolyPid Ltd. of our report dated February 25, 2026, with respect to the consolidated financial statements of PolyPid Ltd. included in its Annual Report (Form 20-F)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385"/>
        <w:gridCol w:w="3485"/>
      </w:tblGrid>
      <w:tr>
        <w:trPr/>
        <w:tc>
          <w:tcPr>
            <w:tcW w:w="1385" w:type="dxa"/>
            <w:tcBorders/>
            <w:vAlign w:val="center"/>
          </w:tcPr>
          <w:p>
            <w:pPr>
              <w:pStyle w:val="TableContents"/>
              <w:bidi w:val="0"/>
              <w:spacing w:before="0" w:after="283"/>
              <w:jc w:val="left"/>
              <w:rPr>
                <w:sz w:val="20"/>
              </w:rPr>
            </w:pPr>
            <w:r>
              <w:rPr>
                <w:sz w:val="20"/>
              </w:rPr>
              <w:t>Tel Aviv, Israel</w:t>
            </w:r>
          </w:p>
        </w:tc>
        <w:tc>
          <w:tcPr>
            <w:tcW w:w="3485" w:type="dxa"/>
            <w:tcBorders/>
            <w:vAlign w:val="center"/>
          </w:tcPr>
          <w:p>
            <w:pPr>
              <w:pStyle w:val="TableContents"/>
              <w:bidi w:val="0"/>
              <w:spacing w:before="0" w:after="283"/>
              <w:jc w:val="right"/>
              <w:rPr>
                <w:sz w:val="20"/>
              </w:rPr>
            </w:pPr>
            <w:r>
              <w:rPr>
                <w:sz w:val="20"/>
              </w:rPr>
              <w:t>/s/ KOST FORER GABBAY &amp; KASIERER</w:t>
            </w:r>
          </w:p>
        </w:tc>
      </w:tr>
      <w:tr>
        <w:trPr/>
        <w:tc>
          <w:tcPr>
            <w:tcW w:w="1385" w:type="dxa"/>
            <w:tcBorders/>
            <w:vAlign w:val="center"/>
          </w:tcPr>
          <w:p>
            <w:pPr>
              <w:pStyle w:val="TableContents"/>
              <w:bidi w:val="0"/>
              <w:spacing w:before="0" w:after="283"/>
              <w:jc w:val="left"/>
              <w:rPr>
                <w:sz w:val="20"/>
              </w:rPr>
            </w:pPr>
            <w:r>
              <w:rPr>
                <w:sz w:val="20"/>
              </w:rPr>
              <w:t>August 12, 2026</w:t>
            </w:r>
          </w:p>
        </w:tc>
        <w:tc>
          <w:tcPr>
            <w:tcW w:w="3485" w:type="dxa"/>
            <w:tcBorders/>
            <w:vAlign w:val="center"/>
          </w:tcPr>
          <w:p>
            <w:pPr>
              <w:pStyle w:val="TableContents"/>
              <w:bidi w:val="0"/>
              <w:spacing w:before="0" w:after="283"/>
              <w:jc w:val="right"/>
              <w:rPr>
                <w:sz w:val="20"/>
              </w:rPr>
            </w:pPr>
            <w:r>
              <w:rPr>
                <w:sz w:val="20"/>
              </w:rPr>
              <w:t>A Member of EY Global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079001ex-fee.htm"/>
      <w:bookmarkStart w:id="8" w:name="ksea0300790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PolyPid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3"/>
        <w:gridCol w:w="60"/>
        <w:gridCol w:w="1078"/>
        <w:gridCol w:w="60"/>
        <w:gridCol w:w="575"/>
        <w:gridCol w:w="60"/>
        <w:gridCol w:w="1128"/>
        <w:gridCol w:w="60"/>
        <w:gridCol w:w="1083"/>
        <w:gridCol w:w="60"/>
        <w:gridCol w:w="270"/>
        <w:gridCol w:w="851"/>
        <w:gridCol w:w="60"/>
        <w:gridCol w:w="154"/>
        <w:gridCol w:w="1408"/>
        <w:gridCol w:w="60"/>
        <w:gridCol w:w="1040"/>
        <w:gridCol w:w="60"/>
        <w:gridCol w:w="214"/>
        <w:gridCol w:w="1071"/>
      </w:tblGrid>
      <w:tr>
        <w:trPr/>
        <w:tc>
          <w:tcPr>
            <w:tcW w:w="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r>
      <w:tr>
        <w:trPr/>
        <w:tc>
          <w:tcPr>
            <w:tcW w:w="853"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7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8"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3"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r>
      <w:tr>
        <w:trPr/>
        <w:tc>
          <w:tcPr>
            <w:tcW w:w="85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Ordinary Shares, no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1,172,538</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851" w:type="dxa"/>
            <w:tcBorders/>
            <w:vAlign w:val="center"/>
          </w:tcPr>
          <w:p>
            <w:pPr>
              <w:pStyle w:val="TableContents"/>
              <w:bidi w:val="0"/>
              <w:spacing w:before="0" w:after="283"/>
              <w:jc w:val="right"/>
              <w:rPr/>
            </w:pPr>
            <w:r>
              <w:rPr/>
              <w:t>4.89</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283"/>
              <w:jc w:val="right"/>
              <w:rPr/>
            </w:pPr>
            <w:r>
              <w:rPr/>
              <w:t>5,733,710.82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791.83</w:t>
            </w:r>
          </w:p>
        </w:tc>
      </w:tr>
      <w:tr>
        <w:trPr/>
        <w:tc>
          <w:tcPr>
            <w:tcW w:w="85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Ordinary Shares, no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327,462</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851" w:type="dxa"/>
            <w:tcBorders/>
            <w:vAlign w:val="center"/>
          </w:tcPr>
          <w:p>
            <w:pPr>
              <w:pStyle w:val="TableContents"/>
              <w:bidi w:val="0"/>
              <w:spacing w:before="0" w:after="283"/>
              <w:jc w:val="right"/>
              <w:rPr/>
            </w:pPr>
            <w:r>
              <w:rPr/>
              <w:t>4.46</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283"/>
              <w:jc w:val="right"/>
              <w:rPr/>
            </w:pPr>
            <w:r>
              <w:rPr/>
              <w:t>1,460,480.52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201.70</w:t>
            </w:r>
          </w:p>
        </w:tc>
      </w:tr>
      <w:tr>
        <w:trPr/>
        <w:tc>
          <w:tcPr>
            <w:tcW w:w="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bottom w:val="single" w:sz="8" w:space="0" w:color="000000"/>
            </w:tcBorders>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38"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283"/>
              <w:jc w:val="right"/>
              <w:rPr/>
            </w:pPr>
            <w:r>
              <w:rPr/>
              <w:t>7,194,191.34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pPr>
            <w:r>
              <w:rPr/>
              <w:t>993.53</w:t>
            </w:r>
          </w:p>
        </w:tc>
      </w:tr>
      <w:tr>
        <w:trPr/>
        <w:tc>
          <w:tcPr>
            <w:tcW w:w="6138"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bottom w:val="single" w:sz="8" w:space="0" w:color="000000"/>
            </w:tcBorders>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38"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bottom w:val="double" w:sz="8" w:space="0" w:color="000000"/>
            </w:tcBorders>
            <w:tcMar>
              <w:bottom w:w="28" w:type="dxa"/>
            </w:tcMar>
            <w:vAlign w:val="center"/>
          </w:tcPr>
          <w:p>
            <w:pPr>
              <w:pStyle w:val="TableContents"/>
              <w:bidi w:val="0"/>
              <w:spacing w:before="0" w:after="283"/>
              <w:jc w:val="left"/>
              <w:rPr/>
            </w:pPr>
            <w:r>
              <w:rPr/>
              <w:t>$</w:t>
            </w:r>
          </w:p>
        </w:tc>
        <w:tc>
          <w:tcPr>
            <w:tcW w:w="1071" w:type="dxa"/>
            <w:tcBorders>
              <w:bottom w:val="double" w:sz="8" w:space="0" w:color="000000"/>
            </w:tcBorders>
            <w:tcMar>
              <w:bottom w:w="28" w:type="dxa"/>
            </w:tcMar>
            <w:vAlign w:val="center"/>
          </w:tcPr>
          <w:p>
            <w:pPr>
              <w:pStyle w:val="TableContents"/>
              <w:bidi w:val="0"/>
              <w:spacing w:before="0" w:after="283"/>
              <w:jc w:val="right"/>
              <w:rPr/>
            </w:pPr>
            <w:r>
              <w:rPr/>
              <w:t>993.53</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Pursuant to Rule 416(a) under the Securities Act of 1933, as amended, or the Securities Act, this Registration Statement also covers an indeterminate number of additional securities which may be offered and issued to prevent dilution resulting from stock splits, stock dividends, recapitalizations or similar transactions.</w:t>
              <w:br/>
              <w:br/>
              <w:t>Represents Ordinary Shares reserved for issuance upon the exercise of options that may be granted under the plan to which this Registration Statement relates.</w:t>
              <w:br/>
              <w:br/>
              <w:t>The fee is based on the number of Ordinary Shares which may be issued under the Registrant’s Amended and Restated PolyPid Ltd. 2012 Share Option Plan this Registration Statement on Form S-8 relates to and is estimated in accordance with Rule 457(c) and (h) under the Securities Act solely for the purpose of calculating the registration fee based upon the average of the high and low sales price of PolyPid Ltd.’s Ordinary Shares as reported on the Nasdaq Global Market on August 7, 2024.</w:t>
            </w:r>
          </w:p>
        </w:tc>
      </w:tr>
    </w:tbl>
    <w:tbl>
      <w:tblPr>
        <w:tblW w:w="10205" w:type="dxa"/>
        <w:jc w:val="left"/>
        <w:tblInd w:w="0" w:type="dxa"/>
        <w:tblLayout w:type="fixed"/>
        <w:tblCellMar>
          <w:top w:w="0" w:type="dxa"/>
          <w:left w:w="0" w:type="dxa"/>
          <w:bottom w:w="0" w:type="dxa"/>
          <w:right w:w="0" w:type="dxa"/>
        </w:tblCellMar>
      </w:tblPr>
      <w:tblGrid>
        <w:gridCol w:w="252"/>
        <w:gridCol w:w="23"/>
        <w:gridCol w:w="9930"/>
      </w:tblGrid>
      <w:tr>
        <w:trPr/>
        <w:tc>
          <w:tcPr>
            <w:tcW w:w="252"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both"/>
              <w:rPr/>
            </w:pPr>
            <w:r>
              <w:rPr/>
              <w:t>Pursuant to Rule 416(a) under the Securities Act of 1933, as amended, or the Securities Act, this Registration Statement also covers an indeterminate number of additional securities which may be offered and issued to prevent dilution resulting from stock splits, stock dividends, recapitalizations or similar transactions.</w:t>
              <w:br/>
              <w:br/>
              <w:t>Represents Ordinary Shares reserved for issuance upon the exercise of options that may be granted under the plan to which this Registration Statement relates.</w:t>
              <w:br/>
              <w:br/>
              <w:t>Based on Rule 457(h), the proposed maximum offering price per share and proposed maximum aggregate offering price are calculated using the exercise price for such shares.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11842/000121390026020370/ea0276727-20f_polypid.htm" TargetMode="External"/><Relationship Id="rId3" Type="http://schemas.openxmlformats.org/officeDocument/2006/relationships/hyperlink" Target="https://www.sec.gov/Archives/edgar/data/1611842/000121390026036923/ea0284288-6k_polypid.htm" TargetMode="External"/><Relationship Id="rId4" Type="http://schemas.openxmlformats.org/officeDocument/2006/relationships/hyperlink" Target="https://www.sec.gov/Archives/edgar/data/1611842/000121390026055449/ea0290315-6k_polypid.htm" TargetMode="External"/><Relationship Id="rId5" Type="http://schemas.openxmlformats.org/officeDocument/2006/relationships/hyperlink" Target="https://www.sec.gov/Archives/edgar/data/1611842/000121390026063169/ea0292882-6k_polypid.htm" TargetMode="External"/><Relationship Id="rId6" Type="http://schemas.openxmlformats.org/officeDocument/2006/relationships/hyperlink" Target="https://www.sec.gov/Archives/edgar/data/1611842/000121390026067311/ea0294092-6k_polypid.htm" TargetMode="External"/><Relationship Id="rId7" Type="http://schemas.openxmlformats.org/officeDocument/2006/relationships/hyperlink" Target="https://www.sec.gov/Archives/edgar/data/1611842/000121390026078318/ea0297818-6k_polypid.htm" TargetMode="External"/><Relationship Id="rId8" Type="http://schemas.openxmlformats.org/officeDocument/2006/relationships/hyperlink" Target="https://www.sec.gov/Archives/edgar/data/1611842/000121390026079808/ea0298559-6k_polypid.htm" TargetMode="External"/><Relationship Id="rId9" Type="http://schemas.openxmlformats.org/officeDocument/2006/relationships/hyperlink" Target="https://www.sec.gov/Archives/edgar/data/1611842/000121390026082564/ea0299642-6k_polypid.htm" TargetMode="External"/><Relationship Id="rId10" Type="http://schemas.openxmlformats.org/officeDocument/2006/relationships/hyperlink" Target="https://www.sec.gov/Archives/edgar/data/1611842/000121390026088040/ea0301528-6k_poly.htm" TargetMode="External"/><Relationship Id="rId11" Type="http://schemas.openxmlformats.org/officeDocument/2006/relationships/hyperlink" Target="https://www.sec.gov/Archives/edgar/data/1611842/000110465920074652/tm209265d6_8a12b.htm" TargetMode="External"/><Relationship Id="rId12" Type="http://schemas.openxmlformats.org/officeDocument/2006/relationships/hyperlink" Target="https://www.sec.gov/Archives/edgar/data/1611842/000121390026020370/ea027672701ex2-3_polypid.htm" TargetMode="External"/><Relationship Id="rId13" Type="http://schemas.openxmlformats.org/officeDocument/2006/relationships/hyperlink" Target="https://www.sec.gov/ix?doc=/Archives/edgar/data/1611842/000121390026020370/ea0276727-20f_polypid.htm" TargetMode="External"/><Relationship Id="rId14" Type="http://schemas.openxmlformats.org/officeDocument/2006/relationships/hyperlink" Target="https://www.sec.gov/Archives/edgar/data/1611842/000121390023037069/ea178129ex99-1_polypid.htm" TargetMode="External"/><Relationship Id="rId15" Type="http://schemas.openxmlformats.org/officeDocument/2006/relationships/hyperlink" Target="https://www.sec.gov/Archives/edgar/data/1611842/000121390026078318/ea029781801ex99-1.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4111</Words>
  <Characters>21708</Characters>
  <CharactersWithSpaces>25973</CharactersWithSpaces>
  <Paragraphs>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