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 (Report No. 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001-38428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Hasivim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 495376,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PolyPid Ltd.’s (the “Registrant”) press release issued on October 28, 2026, titled “PolyPid Unveils Expanded Pipeline Strategy, Introducing PD01B, a New Kynatrix™-Based Product Candidate for the Treatment of Diabetic Foot Infections.”</w:t>
      </w:r>
    </w:p>
    <w:p>
      <w:pPr>
        <w:spacing w:after="0" w:line="162"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paragraph and the sections titled “Introducing PD01B”, “Upcoming Potential Milestones and Timelines”, and “Forward-looking Statements” in the press release attached hereto as Exhibit 99.1 are incorporated by reference into the Registrant’s registration statements on Form F-3 (File No. </w:t>
      </w:r>
      <w:hyperlink r:id="rId13">
        <w:r>
          <w:rPr>
            <w:rFonts w:ascii="Times New Roman" w:cs="Times New Roman" w:eastAsia="Times New Roman" w:hAnsi="Times New Roman"/>
            <w:sz w:val="18"/>
            <w:szCs w:val="18"/>
            <w:u w:val="single" w:color="auto"/>
            <w:color w:val="0000EE"/>
          </w:rPr>
          <w:t>333-276826</w:t>
        </w:r>
      </w:hyperlink>
      <w:r>
        <w:rPr>
          <w:rFonts w:ascii="Times New Roman" w:cs="Times New Roman" w:eastAsia="Times New Roman" w:hAnsi="Times New Roman"/>
          <w:sz w:val="18"/>
          <w:szCs w:val="18"/>
          <w:color w:val="auto"/>
        </w:rPr>
        <w:t xml:space="preserve">, File No. </w:t>
      </w:r>
      <w:hyperlink r:id="rId14">
        <w:r>
          <w:rPr>
            <w:rFonts w:ascii="Times New Roman" w:cs="Times New Roman" w:eastAsia="Times New Roman" w:hAnsi="Times New Roman"/>
            <w:sz w:val="18"/>
            <w:szCs w:val="18"/>
            <w:u w:val="single" w:color="auto"/>
            <w:color w:val="0000EE"/>
          </w:rPr>
          <w:t>333-280658</w:t>
        </w:r>
      </w:hyperlink>
      <w:r>
        <w:rPr>
          <w:rFonts w:ascii="Times New Roman" w:cs="Times New Roman" w:eastAsia="Times New Roman" w:hAnsi="Times New Roman"/>
          <w:sz w:val="18"/>
          <w:szCs w:val="18"/>
          <w:color w:val="auto"/>
        </w:rPr>
        <w:t xml:space="preserve">, File No. </w:t>
      </w:r>
      <w:hyperlink r:id="rId15">
        <w:r>
          <w:rPr>
            <w:rFonts w:ascii="Times New Roman" w:cs="Times New Roman" w:eastAsia="Times New Roman" w:hAnsi="Times New Roman"/>
            <w:sz w:val="18"/>
            <w:szCs w:val="18"/>
            <w:u w:val="single" w:color="auto"/>
            <w:color w:val="0000EE"/>
          </w:rPr>
          <w:t>333-281863</w:t>
        </w:r>
      </w:hyperlink>
      <w:r>
        <w:rPr>
          <w:rFonts w:ascii="Times New Roman" w:cs="Times New Roman" w:eastAsia="Times New Roman" w:hAnsi="Times New Roman"/>
          <w:sz w:val="18"/>
          <w:szCs w:val="18"/>
          <w:color w:val="auto"/>
        </w:rPr>
        <w:t xml:space="preserve">, File No. </w:t>
      </w:r>
      <w:hyperlink r:id="rId16">
        <w:r>
          <w:rPr>
            <w:rFonts w:ascii="Times New Roman" w:cs="Times New Roman" w:eastAsia="Times New Roman" w:hAnsi="Times New Roman"/>
            <w:sz w:val="18"/>
            <w:szCs w:val="18"/>
            <w:u w:val="single" w:color="auto"/>
            <w:color w:val="0000EE"/>
          </w:rPr>
          <w:t>333-284376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7">
        <w:r>
          <w:rPr>
            <w:rFonts w:ascii="Times New Roman" w:cs="Times New Roman" w:eastAsia="Times New Roman" w:hAnsi="Times New Roman"/>
            <w:sz w:val="18"/>
            <w:szCs w:val="18"/>
            <w:u w:val="single" w:color="auto"/>
            <w:color w:val="0000EE"/>
          </w:rPr>
          <w:t>333-289034</w:t>
        </w:r>
      </w:hyperlink>
      <w:r>
        <w:rPr>
          <w:rFonts w:ascii="Times New Roman" w:cs="Times New Roman" w:eastAsia="Times New Roman" w:hAnsi="Times New Roman"/>
          <w:sz w:val="18"/>
          <w:szCs w:val="18"/>
          <w:color w:val="auto"/>
        </w:rPr>
        <w:t xml:space="preserve">) and Form S-8 (File No. </w:t>
      </w:r>
      <w:hyperlink r:id="rId18">
        <w:r>
          <w:rPr>
            <w:rFonts w:ascii="Times New Roman" w:cs="Times New Roman" w:eastAsia="Times New Roman" w:hAnsi="Times New Roman"/>
            <w:sz w:val="18"/>
            <w:szCs w:val="18"/>
            <w:u w:val="single" w:color="auto"/>
            <w:color w:val="0000EE"/>
          </w:rPr>
          <w:t>333-239517</w:t>
        </w:r>
      </w:hyperlink>
      <w:r>
        <w:rPr>
          <w:rFonts w:ascii="Times New Roman" w:cs="Times New Roman" w:eastAsia="Times New Roman" w:hAnsi="Times New Roman"/>
          <w:sz w:val="18"/>
          <w:szCs w:val="18"/>
          <w:color w:val="auto"/>
        </w:rPr>
        <w:t xml:space="preserve">, File No. </w:t>
      </w:r>
      <w:hyperlink r:id="rId19">
        <w:r>
          <w:rPr>
            <w:rFonts w:ascii="Times New Roman" w:cs="Times New Roman" w:eastAsia="Times New Roman" w:hAnsi="Times New Roman"/>
            <w:sz w:val="18"/>
            <w:szCs w:val="18"/>
            <w:u w:val="single" w:color="auto"/>
            <w:color w:val="0000EE"/>
          </w:rPr>
          <w:t>333-271060</w:t>
        </w:r>
      </w:hyperlink>
      <w:r>
        <w:rPr>
          <w:rFonts w:ascii="Times New Roman" w:cs="Times New Roman" w:eastAsia="Times New Roman" w:hAnsi="Times New Roman"/>
          <w:sz w:val="18"/>
          <w:szCs w:val="18"/>
          <w:color w:val="auto"/>
        </w:rPr>
        <w:t xml:space="preserve">, File No. </w:t>
      </w:r>
      <w:hyperlink r:id="rId20">
        <w:r>
          <w:rPr>
            <w:rFonts w:ascii="Times New Roman" w:cs="Times New Roman" w:eastAsia="Times New Roman" w:hAnsi="Times New Roman"/>
            <w:sz w:val="18"/>
            <w:szCs w:val="18"/>
            <w:u w:val="single" w:color="auto"/>
            <w:color w:val="0000EE"/>
          </w:rPr>
          <w:t>333-277703</w:t>
        </w:r>
      </w:hyperlink>
      <w:r>
        <w:rPr>
          <w:rFonts w:ascii="Times New Roman" w:cs="Times New Roman" w:eastAsia="Times New Roman" w:hAnsi="Times New Roman"/>
          <w:sz w:val="18"/>
          <w:szCs w:val="18"/>
          <w:color w:val="auto"/>
        </w:rPr>
        <w:t xml:space="preserve">, File No. </w:t>
      </w:r>
      <w:hyperlink r:id="rId21">
        <w:r>
          <w:rPr>
            <w:rFonts w:ascii="Times New Roman" w:cs="Times New Roman" w:eastAsia="Times New Roman" w:hAnsi="Times New Roman"/>
            <w:sz w:val="18"/>
            <w:szCs w:val="18"/>
            <w:u w:val="single" w:color="auto"/>
            <w:color w:val="0000EE"/>
          </w:rPr>
          <w:t>333-280662</w:t>
        </w:r>
      </w:hyperlink>
      <w:r>
        <w:rPr>
          <w:rFonts w:ascii="Times New Roman" w:cs="Times New Roman" w:eastAsia="Times New Roman" w:hAnsi="Times New Roman"/>
          <w:sz w:val="18"/>
          <w:szCs w:val="18"/>
          <w:color w:val="auto"/>
        </w:rPr>
        <w:t xml:space="preserve">, File No. </w:t>
      </w:r>
      <w:hyperlink r:id="rId22">
        <w:r>
          <w:rPr>
            <w:rFonts w:ascii="Times New Roman" w:cs="Times New Roman" w:eastAsia="Times New Roman" w:hAnsi="Times New Roman"/>
            <w:sz w:val="18"/>
            <w:szCs w:val="18"/>
            <w:u w:val="single" w:color="auto"/>
            <w:color w:val="0000EE"/>
          </w:rPr>
          <w:t>333-289570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3">
        <w:r>
          <w:rPr>
            <w:rFonts w:ascii="Times New Roman" w:cs="Times New Roman" w:eastAsia="Times New Roman" w:hAnsi="Times New Roman"/>
            <w:sz w:val="18"/>
            <w:szCs w:val="18"/>
            <w:u w:val="single" w:color="auto"/>
            <w:color w:val="0000EE"/>
          </w:rPr>
          <w:t>333-298261</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Press Release issued by PolyPid Ltd. on October 28, 2026, titled “PolyPid Unveils Expanded Pipeline Strategy, Introducing PD01B, a New Kynatrix™-Based Product Candidate for the Treatment of Diabetic Foot Infections.”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-305435</wp:posOffset>
            </wp:positionV>
            <wp:extent cx="713232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80" w:space="260"/>
            <w:col w:w="1008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By: /s/ Dikla Czaczkes Akselbrad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Dikla Czaczkes Akselbrad</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168275</wp:posOffset>
            </wp:positionV>
            <wp:extent cx="159448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5944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PolyPid Unveils Expanded Pipeline Strategy, Introducing PD01B, a New Kynatrix™ Based Product Candidate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Treatment of Diabetic Foot Infections</w:t>
      </w:r>
    </w:p>
    <w:p>
      <w:pPr>
        <w:spacing w:after="0" w:line="205" w:lineRule="exact"/>
        <w:rPr>
          <w:sz w:val="20"/>
          <w:szCs w:val="20"/>
          <w:color w:val="auto"/>
        </w:rPr>
      </w:pPr>
    </w:p>
    <w:p>
      <w:pPr>
        <w:ind w:left="1660" w:right="1200" w:hanging="466"/>
        <w:spacing w:after="0" w:line="227" w:lineRule="exact"/>
        <w:rPr>
          <w:sz w:val="20"/>
          <w:szCs w:val="20"/>
          <w:color w:val="auto"/>
        </w:rPr>
      </w:pPr>
      <w:r>
        <w:rPr>
          <w:rFonts w:ascii="Times New Roman" w:cs="Times New Roman" w:eastAsia="Times New Roman" w:hAnsi="Times New Roman"/>
          <w:sz w:val="18"/>
          <w:szCs w:val="18"/>
          <w:i w:val="1"/>
          <w:iCs w:val="1"/>
          <w:color w:val="auto"/>
        </w:rPr>
        <w:t>Company to host virtual Investor Day today at 11:30 AM ET, featuring key opinion leader Warren S. Joseph, DPM, FIDSA All scheduled FDA interactions on track and aligned with D-PLEX</w:t>
      </w:r>
      <w:r>
        <w:rPr>
          <w:rFonts w:ascii="MS PGothic" w:cs="MS PGothic" w:eastAsia="MS PGothic" w:hAnsi="MS PGothic"/>
          <w:sz w:val="18"/>
          <w:szCs w:val="18"/>
          <w:i w:val="1"/>
          <w:iCs w:val="1"/>
          <w:color w:val="auto"/>
        </w:rPr>
        <w:t>₁₀₀</w:t>
      </w:r>
      <w:r>
        <w:rPr>
          <w:rFonts w:ascii="Times New Roman" w:cs="Times New Roman" w:eastAsia="Times New Roman" w:hAnsi="Times New Roman"/>
          <w:sz w:val="18"/>
          <w:szCs w:val="18"/>
          <w:i w:val="1"/>
          <w:iCs w:val="1"/>
          <w:color w:val="auto"/>
        </w:rPr>
        <w:t xml:space="preserve"> November 28, 2026 PDUFA goal date</w:t>
      </w:r>
    </w:p>
    <w:p>
      <w:pPr>
        <w:jc w:val="center"/>
        <w:spacing w:after="0"/>
        <w:rPr>
          <w:sz w:val="20"/>
          <w:szCs w:val="20"/>
          <w:color w:val="auto"/>
        </w:rPr>
      </w:pPr>
      <w:r>
        <w:rPr>
          <w:rFonts w:ascii="Times New Roman" w:cs="Times New Roman" w:eastAsia="Times New Roman" w:hAnsi="Times New Roman"/>
          <w:sz w:val="18"/>
          <w:szCs w:val="18"/>
          <w:i w:val="1"/>
          <w:iCs w:val="1"/>
          <w:color w:val="auto"/>
        </w:rPr>
        <w:t>PolyPid introduces PD01B, a new product candidate targeting hyper-localized, controlled-release antibiotic treatment of diabetic foot infections, based 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Company’s proprietary Kynatrix technology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PD01B planned to be developed as a new NDA; pre-IND meeting and first-in-human study both expected in the second half of 2027</w:t>
      </w:r>
    </w:p>
    <w:p>
      <w:pPr>
        <w:spacing w:after="0" w:line="20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PETACH TIKVA, Israel, Oct. 28, 2026 (GLOBE NEWSWIRE) -- PolyPid Ltd. (Nasdaq: PYPD) (“PolyPid” or the “Company”), an innovative biopharmaceutical company dedicated to elevating treatment effectiveness, right where care begins, today unveiled its expanded pipeline strategy, extending its Kynatrix delivery technology from infection prevention to infection treatment, beginning with PD01B. The Company will discuss its upcoming strategy and long-term vision, including PD01B and its plans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at its virtual Investor Day taking place today at 11:30 AM ET, featuring key opinion leader Warren S. Joseph, DPM, FIDSA. Details for accessing the event are provided below.</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“With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approaching its Prescription Drug User Fee Act (“PDUFA”) date, a committed commercial partner in the U.S. and European rights back under our control, we are now in a position to advance other assets in our pipeline,” said Dikla Czaczkes Akselbrad, Chief Executive Officer of PolyPid. “PD01B is our first step in extending Kynatrix from preventing infections to treating them. While PD01B is a distinct product, with its own formulation, indication and care setting, it is built on the Kynatrix technology that was clinically validated in our Phase 3 SHIELD II trial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and it leverages our established CMC and manufacturing capabilities. We believe this gives PD01B a potentially accelerated, more capital-efficient path into the clinic.”</w:t>
      </w:r>
    </w:p>
    <w:p>
      <w:pPr>
        <w:spacing w:after="0" w:line="3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Introducing PD01B </w:t>
      </w:r>
      <w:r>
        <w:rPr>
          <w:rFonts w:ascii="Times New Roman" w:cs="Times New Roman" w:eastAsia="Times New Roman" w:hAnsi="Times New Roman"/>
          <w:sz w:val="18"/>
          <w:szCs w:val="18"/>
          <w:color w:val="auto"/>
        </w:rPr>
        <w:t>Diabetic foot infections (“DFIs”) are among the most serious and costly complications of diabetes, which affect an estimated 589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adults worldwide.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Between one in five and one in three people with diabetes will develop a foot ulcer in their lifetime,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about half of these ulcers are already infected when patients present for care. DFIs are the most frequent diabetes-related complication requiring hospitalization and the most common event leading to lower-extremity amputation. In one large prospective study cited in the 2023 international guidelines, one year after presenting with an infected foot ulcer only 46% of patients had healed, while 17% had undergone a lower-extremity amputation and 15% had died.</w:t>
      </w:r>
      <w:r>
        <w:rPr>
          <w:rFonts w:ascii="Times New Roman" w:cs="Times New Roman" w:eastAsia="Times New Roman" w:hAnsi="Times New Roman"/>
          <w:sz w:val="29"/>
          <w:szCs w:val="29"/>
          <w:color w:val="auto"/>
          <w:vertAlign w:val="superscript"/>
        </w:rPr>
        <w:t>3</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treatment relies on debridement and systemic antibiotics, which can struggle to achieve adequate concentrations in infected tissue with poor blood supply and, over courses that can last weeks, contribute to adverse events and antimicrobial resistance. Locally delivered antibiotics offer the potential to reach very high concentrations at the site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International Diabetes Federation. IDF Diabetes Atlas, 11th edition. 2025. https://diabetesatlas.org/</w:t>
      </w:r>
    </w:p>
    <w:p>
      <w:pPr>
        <w:spacing w:after="0" w:line="1" w:lineRule="exact"/>
        <w:rPr>
          <w:sz w:val="20"/>
          <w:szCs w:val="20"/>
          <w:color w:val="auto"/>
        </w:rPr>
      </w:pPr>
    </w:p>
    <w:p>
      <w:pPr>
        <w:ind w:left="340" w:hanging="332"/>
        <w:spacing w:after="0" w:line="187"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Armstrong DG, Boulton AJM, Bus SA. Diabetic Foot Ulcers and Their Recurrence. N Engl J Med. 2017;376(24):2367-2375. https://doi.org/10.1056/NEJMra1615439</w:t>
      </w:r>
    </w:p>
    <w:p>
      <w:pPr>
        <w:spacing w:after="0" w:line="1" w:lineRule="exact"/>
        <w:rPr>
          <w:sz w:val="20"/>
          <w:szCs w:val="20"/>
          <w:color w:val="auto"/>
        </w:rPr>
      </w:pPr>
    </w:p>
    <w:p>
      <w:pPr>
        <w:ind w:left="340" w:hanging="332"/>
        <w:spacing w:after="0" w:line="187"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Senneville É, Albalawi Z, van Asten SA, et al. IWGDF/IDSA Guidelines on the Diagnosis and Treatment of Diabetes-related Foot Infections (IWGDF/IDSA 2023). Clin Infect Dis. 2023. https://doi.org/10.1093/cid/ciad527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41" w:lineRule="auto"/>
        <w:rPr>
          <w:sz w:val="20"/>
          <w:szCs w:val="20"/>
          <w:color w:val="auto"/>
        </w:rPr>
      </w:pPr>
      <w:r>
        <w:rPr>
          <w:rFonts w:ascii="Times New Roman" w:cs="Times New Roman" w:eastAsia="Times New Roman" w:hAnsi="Times New Roman"/>
          <w:sz w:val="18"/>
          <w:szCs w:val="18"/>
          <w:color w:val="auto"/>
        </w:rPr>
        <w:t>PD01B is designed to address this gap. It combines doxycycline, a well-characterized broad-spectrum antibiotic with activity against common DFI pathogens, including methicillin-resistant Staphylococcus aureus (MRSA),</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with PolyPid’s Kynatrix technology. Applied directly into the wound after debridement, PD01B is designed to sustain high local doxycycline levels in the infected tissue for weeks. PD01B is being developed for patients with moderate to severe infections, the population on which U.S. Food and Drug Administration’s (“FDA”) guidance for DFI clinical trials focuses.</w:t>
      </w:r>
      <w:r>
        <w:rPr>
          <w:rFonts w:ascii="Times New Roman" w:cs="Times New Roman" w:eastAsia="Times New Roman" w:hAnsi="Times New Roman"/>
          <w:sz w:val="29"/>
          <w:szCs w:val="29"/>
          <w:color w:val="auto"/>
          <w:vertAlign w:val="superscript"/>
        </w:rPr>
        <w:t>5</w:t>
      </w:r>
    </w:p>
    <w:p>
      <w:pPr>
        <w:spacing w:after="0" w:line="7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At the Investor Day, Dr. Joseph, a leading podiatric physician specializing in lower extremity infectious diseases and Editor-in-Chief of the Journal of the American Podiatric Medical Association, will discuss the clinical burden of DFIs, the limitations of current treatment approaches, and the potential role of locally delivered, long-acting antibiotic therapy. PolyPid’s management will also review the Company’s plans to maximize the value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for which a New Drug Application (“NDA”) is under FDA Priority Review with a PDUFA goal date of November 28, 2026, including potential label expansion beyond colorectal surgery and potential geographic expansion. A live question-and-answer session with Dr. Joseph and management will follow the formal presentations.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Potential Milestones and Timelines</w:t>
      </w:r>
    </w:p>
    <w:p>
      <w:pPr>
        <w:spacing w:after="0" w:line="188" w:lineRule="exact"/>
        <w:rPr>
          <w:sz w:val="20"/>
          <w:szCs w:val="20"/>
          <w:color w:val="auto"/>
        </w:rPr>
      </w:pPr>
    </w:p>
    <w:p>
      <w:pPr>
        <w:ind w:left="660" w:hanging="328"/>
        <w:spacing w:after="0" w:line="208" w:lineRule="exact"/>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PDUFA goal date: November 28, 2026</w:t>
      </w:r>
    </w:p>
    <w:p>
      <w:pPr>
        <w:spacing w:after="0" w:line="224" w:lineRule="exact"/>
        <w:rPr>
          <w:rFonts w:ascii="Arial" w:cs="Arial" w:eastAsia="Arial" w:hAnsi="Arial"/>
          <w:sz w:val="18"/>
          <w:szCs w:val="18"/>
          <w:b w:val="1"/>
          <w:bCs w:val="1"/>
          <w:color w:val="auto"/>
        </w:rPr>
      </w:pPr>
    </w:p>
    <w:p>
      <w:pPr>
        <w:ind w:left="660" w:hanging="328"/>
        <w:spacing w:after="0" w:line="208" w:lineRule="exact"/>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U.S. launch: expected in early 2027, subject to FDA approval</w:t>
      </w:r>
    </w:p>
    <w:p>
      <w:pPr>
        <w:spacing w:after="0" w:line="26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FDA communications on label expansion into additional abdominal surgeries: initiation in the fourth quarter of 2026, with potential label expansion into additional surgeries in 2028</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CMS decision on New Technology Add-on Payment (“NTAP”): expected in August 2027</w:t>
      </w:r>
    </w:p>
    <w:p>
      <w:pPr>
        <w:spacing w:after="0" w:line="183" w:lineRule="exact"/>
        <w:rPr>
          <w:rFonts w:ascii="Arial" w:cs="Arial" w:eastAsia="Arial" w:hAnsi="Arial"/>
          <w:sz w:val="18"/>
          <w:szCs w:val="18"/>
          <w:b w:val="1"/>
          <w:bCs w:val="1"/>
          <w:color w:val="auto"/>
        </w:rPr>
      </w:pPr>
    </w:p>
    <w:p>
      <w:pPr>
        <w:ind w:left="660" w:hanging="328"/>
        <w:spacing w:after="0" w:line="208" w:lineRule="exact"/>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Canadian New Drug Submission for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2027</w:t>
      </w:r>
    </w:p>
    <w:p>
      <w:pPr>
        <w:spacing w:after="0" w:line="224" w:lineRule="exact"/>
        <w:rPr>
          <w:rFonts w:ascii="Arial" w:cs="Arial" w:eastAsia="Arial" w:hAnsi="Arial"/>
          <w:sz w:val="18"/>
          <w:szCs w:val="18"/>
          <w:b w:val="1"/>
          <w:bCs w:val="1"/>
          <w:color w:val="auto"/>
        </w:rPr>
      </w:pPr>
    </w:p>
    <w:p>
      <w:pPr>
        <w:ind w:left="660" w:hanging="328"/>
        <w:spacing w:after="0" w:line="246" w:lineRule="exact"/>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European Medicines Agency (“EMA”) decision on the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Marketing Authorization Application: second half of 2027, with a potential EU launch in 2028</w:t>
      </w:r>
    </w:p>
    <w:p>
      <w:pPr>
        <w:spacing w:after="0" w:line="19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PD01B pre-investigational new drug (“IND”) meeting with the FDA and first-in-human study: second half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Senneville É, et al. IWGDF/IDSA 2023 (see note 3). https://doi.org/10.1093/cid/ciad527</w:t>
      </w:r>
    </w:p>
    <w:p>
      <w:pPr>
        <w:spacing w:after="0" w:line="1" w:lineRule="exact"/>
        <w:rPr>
          <w:sz w:val="20"/>
          <w:szCs w:val="20"/>
          <w:color w:val="auto"/>
        </w:rPr>
      </w:pPr>
    </w:p>
    <w:p>
      <w:pPr>
        <w:ind w:left="340" w:hanging="332"/>
        <w:spacing w:after="0" w:line="187"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U.S. Food and Drug Administration. Diabetic Foot Infections: Developing Drugs for Treatment. Guidance for Industry. June 2024. https://www.fda.gov/media/173006/download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586105</wp:posOffset>
            </wp:positionV>
            <wp:extent cx="5186045" cy="265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Day Dial-In &amp; Webcast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ensure you are connected prior to the beginning of the event, PolyPid suggests registering a minimum of 5 minutes before the start of the event. For those not planning to ask a question of management or Dr. Joseph, the Company recommends listening via the webcast.</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Conference Call: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October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11:30 AM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https://register-conf.media-server.com/register/BIb1af168335ad493c80fe51bb064f7b95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https://edge.media-server.com/mmc/p/97rvqcaj</w:t>
      </w:r>
    </w:p>
    <w:p>
      <w:pPr>
        <w:spacing w:after="0" w:line="200" w:lineRule="exact"/>
        <w:rPr>
          <w:sz w:val="20"/>
          <w:szCs w:val="20"/>
          <w:color w:val="auto"/>
        </w:rPr>
      </w:pPr>
    </w:p>
    <w:p>
      <w:pPr>
        <w:sectPr>
          <w:pgSz w:w="11900" w:h="16838" w:orient="portrait"/>
          <w:cols w:equalWidth="0" w:num="2">
            <w:col w:w="2100" w:space="720"/>
            <w:col w:w="8420"/>
          </w:cols>
          <w:pgMar w:left="320" w:top="1440" w:right="339" w:bottom="1440" w:gutter="0" w:footer="0" w:header="0"/>
          <w:type w:val="continuous"/>
        </w:sectPr>
      </w:pPr>
    </w:p>
    <w:p>
      <w:pPr>
        <w:spacing w:after="0" w:line="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presentation will be available on the Events &amp; Presentations page of the Investors section of the Company’s website at investors.polypid.com. A replay of the event will be available on the same page following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PD01B</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PD01B is a new product candidate being developed by PolyPid for the treatment of moderate to severe diabetic foot infections. Built on PolyPid’s Kynatrix delivery technology, PD01B is designed to be applied directly into the wound after debridement and to provide controlled release of the broad-spectrum antibiotic doxycycline, resulting in hyper-localized, high concentrations of the drug at the site of infection for weeks.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7" w:lineRule="exact"/>
        <w:rPr>
          <w:sz w:val="20"/>
          <w:szCs w:val="20"/>
          <w:color w:val="auto"/>
        </w:rPr>
      </w:pPr>
      <w:r>
        <w:rPr>
          <w:rFonts w:ascii="Times New Roman" w:cs="Times New Roman" w:eastAsia="Times New Roman" w:hAnsi="Times New Roman"/>
          <w:sz w:val="18"/>
          <w:szCs w:val="18"/>
          <w:b w:val="1"/>
          <w:bCs w:val="1"/>
          <w:color w:val="auto"/>
        </w:rPr>
        <w:t>About D-PLEX</w:t>
      </w:r>
      <w:r>
        <w:rPr>
          <w:rFonts w:ascii="MS PGothic" w:cs="MS PGothic" w:eastAsia="MS PGothic" w:hAnsi="MS PGothic"/>
          <w:sz w:val="18"/>
          <w:szCs w:val="18"/>
          <w:color w:val="auto"/>
          <w:highlight w:val="black"/>
        </w:rPr>
        <w:t>₁₀₀</w:t>
      </w:r>
    </w:p>
    <w:p>
      <w:pPr>
        <w:spacing w:after="0" w:line="22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PolyPid’s lead product candidate, is designed to provide local prolonged and controlled anti-bacterial activity directly at the surgical site with the goal of preventing abdominal surgical site infections (“SSIs”). Following the administration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into the surgical site, PolyPid’s delivery technology, Kynatrix, is designed to pair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In the Phase 3 SHIELD II trial,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recently demonstrated positive results in achieving its primary end point and a 60% (p=0.0013) relative risk reduction at the secondary end point in SSI incidence following abdominal colorectal surgery with large incisions.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received Breakthrough Therapy Designation from the U.S. Food and Drug Administration for the prevention of SSIs in patients undergoing elective colorectal surgery.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PolyPid</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its pipeline and growth strategy; the design, development plan, regulatory pathway and potential benefits of PD01B, including the anticipated timing of a pre-IND meeting and the initiation of a first-in-human study; the potential role of locally delivered, long-acting antibiotic therapy; anticipated milestones and timelines, the intended duration of local antibiotic delivery, the anticipated timing of the U.S. launch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the CMS decision on NTAP, the Canadian New Drug Submission, the EMA decision on the Marketing Authorization Application and a potential EU launch; the FDA’s Priority Review of the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NDA, the November 28, 2026 PDUFA goal date and the potential FDA approval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and the potential expansion of D-PLEX</w:t>
      </w:r>
      <w:r>
        <w:rPr>
          <w:rFonts w:ascii="MS PGothic" w:cs="MS PGothic" w:eastAsia="MS PGothic" w:hAnsi="MS PGothic"/>
          <w:sz w:val="18"/>
          <w:szCs w:val="18"/>
          <w:color w:val="auto"/>
        </w:rPr>
        <w:t>₁₀₀</w:t>
      </w:r>
      <w:r>
        <w:rPr>
          <w:rFonts w:ascii="Times New Roman" w:cs="Times New Roman" w:eastAsia="Times New Roman" w:hAnsi="Times New Roman"/>
          <w:sz w:val="18"/>
          <w:szCs w:val="18"/>
          <w:color w:val="auto"/>
        </w:rPr>
        <w:t xml:space="preserve"> into additional surgical indications and geographies.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Warshavsky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908-858-5995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IR@Polypid.com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Arx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American Equities Desk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polypid@arxhq.com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jpe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jpeg"/><Relationship Id="rId35" Type="http://schemas.openxmlformats.org/officeDocument/2006/relationships/image" Target="media/image17.png"/><Relationship Id="rId36" Type="http://schemas.openxmlformats.org/officeDocument/2006/relationships/image" Target="media/image18.png"/><Relationship Id="rId13" Type="http://schemas.openxmlformats.org/officeDocument/2006/relationships/hyperlink" Target="https://www.sec.gov/Archives/edgar/data/1611842/000121390024009108/ea192572-f3_polypidltd.htm" TargetMode="External"/><Relationship Id="rId14" Type="http://schemas.openxmlformats.org/officeDocument/2006/relationships/hyperlink" Target="https://www.sec.gov/Archives/edgar/data/1611842/000121390024058595/ea0208115-f3_polypidltd.htm" TargetMode="External"/><Relationship Id="rId15" Type="http://schemas.openxmlformats.org/officeDocument/2006/relationships/hyperlink" Target="https://www.sec.gov/Archives/edgar/data/1611842/000121390024074508/ea0212801-f3_polypidltd.htm" TargetMode="External"/><Relationship Id="rId16" Type="http://schemas.openxmlformats.org/officeDocument/2006/relationships/hyperlink" Target="https://www.sec.gov/Archives/edgar/data/1611842/000121390025004999/ea0227827-f3_polypid.htm" TargetMode="External"/><Relationship Id="rId17" Type="http://schemas.openxmlformats.org/officeDocument/2006/relationships/hyperlink" Target="https://www.sec.gov/Archives/edgar/data/1611842/000121390025068692/ea0250584-f3_polypid.htm" TargetMode="External"/><Relationship Id="rId18" Type="http://schemas.openxmlformats.org/officeDocument/2006/relationships/hyperlink" Target="https://www.sec.gov/Archives/edgar/data/1611842/000110465920077735/tm209265d11_s8.htm" TargetMode="External"/><Relationship Id="rId19" Type="http://schemas.openxmlformats.org/officeDocument/2006/relationships/hyperlink" Target="https://www.sec.gov/Archives/edgar/data/1611842/000121390023025649/ea176190-s8_polypid.htm" TargetMode="External"/><Relationship Id="rId20" Type="http://schemas.openxmlformats.org/officeDocument/2006/relationships/hyperlink" Target="https://www.sec.gov/Archives/edgar/data/1611842/000121390024020445/ea0201047-s8_polypid.htm" TargetMode="External"/><Relationship Id="rId21" Type="http://schemas.openxmlformats.org/officeDocument/2006/relationships/hyperlink" Target="https://www.sec.gov/Archives/edgar/data/1611842/000121390024058604/ea0208116-s8_polypid.htm" TargetMode="External"/><Relationship Id="rId22" Type="http://schemas.openxmlformats.org/officeDocument/2006/relationships/hyperlink" Target="https://www.sec.gov/Archives/edgar/data/1611842/000121390025075646/ea0252816-s8_polypid.htm" TargetMode="External"/><Relationship Id="rId23" Type="http://schemas.openxmlformats.org/officeDocument/2006/relationships/hyperlink" Target="https://www.sec.gov/Archives/edgar/data/1611842/000121390026088332/ea0300790-s8_polyp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2026-10-28T07:06:28Z</dcterms:created>
  <dcterms:modified xsi:type="dcterms:W3CDTF">2026-10-28T07:06:28Z</dcterms:modified>
</cp:coreProperties>
</file>