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PolyPid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Rodney Hodges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2,722,707.00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2,722,707.00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2,722,707.00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of the Reporting Person includes 860,764 warrants held by Xenia Venture Capital Limited and 274,471 warrants held by Oriella Limited, exercisable within 60 days of August 13, 2026. The percentage is based on the 20,311,766 Ordinary Shares of the Issuer that were outstanding as of June 30, 2026, based on information contained in the Report on Form 6-K filed by the Issuer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Geneva Holding Company (GHC) SA</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2,722,707.00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2,722,707.00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2,722,707.00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13.4 %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of the Reporting Person includes 860,764 warrants held by Xenia Venture Capital Limited and 274,471 warrants held by Oriella Limited, exercisable within 60 days of August 13, 2026. The percentage is based on the 20,311,766 Ordinary Shares of the Issuer that were outstanding as of June 30, 2026, based on information contained in the Report on Form 6-K filed by the Issuer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Geneva Trust Company (GTC) SA</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2,722,707.00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2,722,707.00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2,722,707.00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13.4 %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of the Reporting Person includes 860,764 warrants held by Xenia Venture Capital Limited and 274,471 warrants held by Oriella Limited, exercisable within 60 days of August 13, 2026. The percentage is based on the 20,311,766 Ordinary Shares of the Issuer that were outstanding as of June 30, 2026, based on information contained in the Report on Form 6-K filed by the Issuer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Centaurus Investments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2,624,307.00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2,624,307.00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2,624,307.00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of the Reporting Person includes 860,764 warrants held by Xenia Venture Capital Limited and 274,471 warrants held by Oriella Limited, exercisable within 60 days of August 13, 2026. The percentage is based on the 20,311,766 Ordinary Shares of the Issuer that were outstanding as of June 30, 2026, based on information contained in the Report on Form 6-K filed by the Issuer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Xenia Venture Capital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1,892,462.00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1,892,462.00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1,892,462.00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of the Reporting Person includes 860,764 warrants held by Xenia Venture Capital Limited, exercisable within 60 days of August 13, 2026. The percentage is based on the 20,311,766 Ordinary Shares of the Issuer that were outstanding as of June 30, 2026, based on information contained in the Report on Form 6-K filed by the Issuer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Item 1.</w:t>
            </w:r>
          </w:p>
        </w:tc>
        <w:tc>
          <w:tcPr>
            <w:tcW w:w="9029" w:type="dxa"/>
            <w:tcBorders/>
            <w:vAlign w:val="center"/>
          </w:tcPr>
          <w:p>
            <w:pPr>
              <w:pStyle w:val="TableContents"/>
              <w:bidi w:val="0"/>
              <w:spacing w:before="0" w:after="283"/>
              <w:jc w:val="left"/>
              <w:rPr/>
            </w:pPr>
            <w:r>
              <w:rPr/>
              <w:t> </w:t>
            </w:r>
          </w:p>
        </w:tc>
      </w:tr>
      <w:tr>
        <w:trPr/>
        <w:tc>
          <w:tcPr>
            <w:tcW w:w="1176" w:type="dxa"/>
            <w:tcBorders/>
            <w:vAlign w:val="center"/>
          </w:tcPr>
          <w:p>
            <w:pPr>
              <w:pStyle w:val="TableContents"/>
              <w:bidi w:val="0"/>
              <w:spacing w:before="0" w:after="283"/>
              <w:jc w:val="left"/>
              <w:rPr/>
            </w:pPr>
            <w:r>
              <w:rPr/>
              <w:t>(a)</w:t>
            </w:r>
          </w:p>
        </w:tc>
        <w:tc>
          <w:tcPr>
            <w:tcW w:w="9029" w:type="dxa"/>
            <w:tcBorders/>
            <w:vAlign w:val="center"/>
          </w:tcPr>
          <w:p>
            <w:pPr>
              <w:pStyle w:val="TableContents"/>
              <w:bidi w:val="0"/>
              <w:jc w:val="left"/>
              <w:rPr/>
            </w:pPr>
            <w:r>
              <w:rPr/>
              <w:t xml:space="preserve">Name of issuer: </w:t>
            </w:r>
          </w:p>
          <w:p>
            <w:pPr>
              <w:pStyle w:val="TableContents"/>
              <w:bidi w:val="0"/>
              <w:spacing w:before="0" w:after="0"/>
              <w:jc w:val="left"/>
              <w:rPr/>
            </w:pPr>
            <w:r>
              <w:rPr/>
              <w:t>PolyPid Ltd.</w:t>
            </w:r>
          </w:p>
        </w:tc>
      </w:tr>
      <w:tr>
        <w:trPr/>
        <w:tc>
          <w:tcPr>
            <w:tcW w:w="1176" w:type="dxa"/>
            <w:tcBorders/>
            <w:vAlign w:val="center"/>
          </w:tcPr>
          <w:p>
            <w:pPr>
              <w:pStyle w:val="TableContents"/>
              <w:bidi w:val="0"/>
              <w:spacing w:before="0" w:after="283"/>
              <w:jc w:val="left"/>
              <w:rPr/>
            </w:pPr>
            <w:r>
              <w:rPr/>
              <w:t>(b)</w:t>
            </w:r>
          </w:p>
        </w:tc>
        <w:tc>
          <w:tcPr>
            <w:tcW w:w="90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 Hasivim Street Petach Tikva 495376, Israel</w:t>
            </w:r>
          </w:p>
        </w:tc>
      </w:tr>
      <w:tr>
        <w:trPr/>
        <w:tc>
          <w:tcPr>
            <w:tcW w:w="1176" w:type="dxa"/>
            <w:tcBorders/>
            <w:vAlign w:val="center"/>
          </w:tcPr>
          <w:p>
            <w:pPr>
              <w:pStyle w:val="TableContents"/>
              <w:bidi w:val="0"/>
              <w:spacing w:before="0" w:after="283"/>
              <w:jc w:val="left"/>
              <w:rPr/>
            </w:pPr>
            <w:r>
              <w:rPr/>
              <w:t>Item 2.</w:t>
            </w:r>
          </w:p>
        </w:tc>
        <w:tc>
          <w:tcPr>
            <w:tcW w:w="9029" w:type="dxa"/>
            <w:tcBorders/>
            <w:vAlign w:val="center"/>
          </w:tcPr>
          <w:p>
            <w:pPr>
              <w:pStyle w:val="TableContents"/>
              <w:bidi w:val="0"/>
              <w:spacing w:before="0" w:after="283"/>
              <w:jc w:val="left"/>
              <w:rPr/>
            </w:pPr>
            <w:r>
              <w:rPr/>
              <w:t> </w:t>
            </w:r>
          </w:p>
        </w:tc>
      </w:tr>
      <w:tr>
        <w:trPr/>
        <w:tc>
          <w:tcPr>
            <w:tcW w:w="1176" w:type="dxa"/>
            <w:tcBorders/>
            <w:vAlign w:val="center"/>
          </w:tcPr>
          <w:p>
            <w:pPr>
              <w:pStyle w:val="TableContents"/>
              <w:bidi w:val="0"/>
              <w:spacing w:before="0" w:after="283"/>
              <w:jc w:val="left"/>
              <w:rPr/>
            </w:pPr>
            <w:r>
              <w:rPr/>
              <w:t>(a)</w:t>
            </w:r>
          </w:p>
        </w:tc>
        <w:tc>
          <w:tcPr>
            <w:tcW w:w="90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3 (the "Amendment) to the Statement of Beneficial Ownership on Schedule 13G originally filed on September 20, 2023 (the "Schedule 13G"), as amended on October 28, 2024, and as further amended on February 14, 2025, is being filed by each of: (i) Xenia Venture Capital Limited; (ii) Centaurus Investments Limited; (iii) Geneva Holding Company (GHC) SA; (iv) Geneva Trust Company (GTC) SA; (all of which, above, are the "Reporting Entities"); and (v) Rodney Hodges (the "Reporting Individual"), (each a "Reporting Person" and, collectively, the "Reporting Persons"). This Amendment to Schedule 13G is being filed pursuant to a Joint Filing Agreement (the "Joint Filing Agreement"), a copy of which was filed as Exhibit 99.1 to the Schedule 13G filed on September 20, 2023. Xenia Venture Capital Limited ("Xenia") is an investment holding company that purchased Ordinary Shares (as defined below) of the Issuer that are the subject of this Amendment to Schedule 13G. The entire share capital of Centaurus Investments Limited, the parent holding company of Xenia, is held by Geneva Trust Company (GTC) SA (as trustee of the VT Two Trust). Geneva Trust Company (GTC) SA (a subsidiary of Geneva Holding Company (GHC) SA), as trustee of VT Two Trust, has the authority to dispose of and exercise control over the disposal of the assets of the VT Two Trust. Mr. Rodney Hodges holds 100% of the share capital of Geneva Holding Company (GHC) SA. The Reporting Individual does not make day-to-day voting or investment decisions with respect to the Ordinary Shares held by the Reporting Entities and therefore disclaims beneficial ownership of them except to the extent of his pecuniary interest therein.</w:t>
            </w:r>
          </w:p>
        </w:tc>
      </w:tr>
      <w:tr>
        <w:trPr/>
        <w:tc>
          <w:tcPr>
            <w:tcW w:w="1176" w:type="dxa"/>
            <w:tcBorders/>
            <w:vAlign w:val="center"/>
          </w:tcPr>
          <w:p>
            <w:pPr>
              <w:pStyle w:val="TableContents"/>
              <w:bidi w:val="0"/>
              <w:spacing w:before="0" w:after="283"/>
              <w:jc w:val="left"/>
              <w:rPr/>
            </w:pPr>
            <w:r>
              <w:rPr/>
              <w:t>(b)</w:t>
            </w:r>
          </w:p>
        </w:tc>
        <w:tc>
          <w:tcPr>
            <w:tcW w:w="90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each of the Reporting Persons are: Rodney Hodges, Rue de l'Athenee 34, 1206 Geneva, Switzerland Geneva Holding Company (GHC) SA, Rue de l'Athenee 34, 1206 Geneva, Switzerland Geneva Trust Company (GTC) SA, Rue de l'Athenee 34, 1206 Geneva, Switzerland Centaurus Investments Limited, Woodbourne Hall, PO Box 3162, Road Town, Tortola VG 1110, British Virgin Islands, Xenia Venture Capital Limited, Yigal Alon 76, 6706701 Tel Aviv, Israel</w:t>
            </w:r>
          </w:p>
        </w:tc>
      </w:tr>
      <w:tr>
        <w:trPr/>
        <w:tc>
          <w:tcPr>
            <w:tcW w:w="1176" w:type="dxa"/>
            <w:tcBorders/>
            <w:vAlign w:val="center"/>
          </w:tcPr>
          <w:p>
            <w:pPr>
              <w:pStyle w:val="TableContents"/>
              <w:bidi w:val="0"/>
              <w:spacing w:before="0" w:after="283"/>
              <w:jc w:val="left"/>
              <w:rPr/>
            </w:pPr>
            <w:r>
              <w:rPr/>
              <w:t>(c)</w:t>
            </w:r>
          </w:p>
        </w:tc>
        <w:tc>
          <w:tcPr>
            <w:tcW w:w="9029" w:type="dxa"/>
            <w:tcBorders/>
            <w:vAlign w:val="center"/>
          </w:tcPr>
          <w:p>
            <w:pPr>
              <w:pStyle w:val="TableContents"/>
              <w:bidi w:val="0"/>
              <w:jc w:val="left"/>
              <w:rPr/>
            </w:pPr>
            <w:r>
              <w:rPr/>
              <w:t xml:space="preserve">Citizenship: </w:t>
            </w:r>
          </w:p>
          <w:p>
            <w:pPr>
              <w:pStyle w:val="TableContents"/>
              <w:bidi w:val="0"/>
              <w:spacing w:before="0" w:after="0"/>
              <w:jc w:val="left"/>
              <w:rPr/>
            </w:pPr>
            <w:r>
              <w:rPr/>
              <w:t>Geneva Holding Company (GHC) SA, and Geneva Trust Company (GTC) SA are organized under the laws of Switzerland, Centaurus Investments Limited is organized under the laws of British Virgin Islands, and Xenia Venture Capital Limited is organized under the laws of Israel. The Reporting Individual is a citizen of the United Kingdom</w:t>
            </w:r>
          </w:p>
        </w:tc>
      </w:tr>
      <w:tr>
        <w:trPr/>
        <w:tc>
          <w:tcPr>
            <w:tcW w:w="1176" w:type="dxa"/>
            <w:tcBorders/>
            <w:vAlign w:val="center"/>
          </w:tcPr>
          <w:p>
            <w:pPr>
              <w:pStyle w:val="TableContents"/>
              <w:bidi w:val="0"/>
              <w:spacing w:before="0" w:after="283"/>
              <w:jc w:val="left"/>
              <w:rPr/>
            </w:pPr>
            <w:r>
              <w:rPr/>
              <w:t>(d)</w:t>
            </w:r>
          </w:p>
        </w:tc>
        <w:tc>
          <w:tcPr>
            <w:tcW w:w="90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 par value</w:t>
            </w:r>
          </w:p>
        </w:tc>
      </w:tr>
      <w:tr>
        <w:trPr/>
        <w:tc>
          <w:tcPr>
            <w:tcW w:w="1176" w:type="dxa"/>
            <w:tcBorders/>
            <w:vAlign w:val="center"/>
          </w:tcPr>
          <w:p>
            <w:pPr>
              <w:pStyle w:val="TableContents"/>
              <w:bidi w:val="0"/>
              <w:spacing w:before="0" w:after="283"/>
              <w:jc w:val="left"/>
              <w:rPr/>
            </w:pPr>
            <w:r>
              <w:rPr/>
              <w:t>(e)</w:t>
            </w:r>
          </w:p>
        </w:tc>
        <w:tc>
          <w:tcPr>
            <w:tcW w:w="9029" w:type="dxa"/>
            <w:tcBorders/>
            <w:vAlign w:val="center"/>
          </w:tcPr>
          <w:p>
            <w:pPr>
              <w:pStyle w:val="TableContents"/>
              <w:bidi w:val="0"/>
              <w:spacing w:before="0" w:after="283"/>
              <w:jc w:val="left"/>
              <w:rPr/>
            </w:pPr>
            <w:r>
              <w:rPr/>
              <w:t xml:space="preserve">CUSIP No.: </w:t>
            </w:r>
          </w:p>
        </w:tc>
      </w:tr>
      <w:tr>
        <w:trPr/>
        <w:tc>
          <w:tcPr>
            <w:tcW w:w="1176" w:type="dxa"/>
            <w:tcBorders/>
            <w:vAlign w:val="center"/>
          </w:tcPr>
          <w:p>
            <w:pPr>
              <w:pStyle w:val="TableContents"/>
              <w:bidi w:val="0"/>
              <w:spacing w:before="0" w:after="283"/>
              <w:jc w:val="left"/>
              <w:rPr/>
            </w:pPr>
            <w:r>
              <w:rPr/>
              <w:t>Item 4.</w:t>
            </w:r>
          </w:p>
        </w:tc>
        <w:tc>
          <w:tcPr>
            <w:tcW w:w="9029" w:type="dxa"/>
            <w:tcBorders/>
            <w:vAlign w:val="center"/>
          </w:tcPr>
          <w:p>
            <w:pPr>
              <w:pStyle w:val="TableContents"/>
              <w:bidi w:val="0"/>
              <w:spacing w:before="0" w:after="283"/>
              <w:jc w:val="left"/>
              <w:rPr/>
            </w:pPr>
            <w:r>
              <w:rPr/>
              <w:t>Ownership</w:t>
            </w:r>
          </w:p>
        </w:tc>
      </w:tr>
      <w:tr>
        <w:trPr/>
        <w:tc>
          <w:tcPr>
            <w:tcW w:w="1176" w:type="dxa"/>
            <w:tcBorders/>
            <w:vAlign w:val="center"/>
          </w:tcPr>
          <w:p>
            <w:pPr>
              <w:pStyle w:val="TableContents"/>
              <w:bidi w:val="0"/>
              <w:spacing w:before="0" w:after="283"/>
              <w:jc w:val="left"/>
              <w:rPr/>
            </w:pPr>
            <w:r>
              <w:rPr/>
              <w:t>(a)</w:t>
            </w:r>
          </w:p>
        </w:tc>
        <w:tc>
          <w:tcPr>
            <w:tcW w:w="90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Reporting Person Number of Ordinary Shares Rodney Hodges 2,722,707 Geneva Holding Company (GHC) SA 2,722,707 Geneva Trust Company (GTC) SA 2,722,707 Centaurus Investments Limited 2,624,307 Xenia Venture Capital Limited 1,892,462</w:t>
            </w:r>
          </w:p>
        </w:tc>
      </w:tr>
      <w:tr>
        <w:trPr/>
        <w:tc>
          <w:tcPr>
            <w:tcW w:w="1176" w:type="dxa"/>
            <w:tcBorders/>
            <w:vAlign w:val="center"/>
          </w:tcPr>
          <w:p>
            <w:pPr>
              <w:pStyle w:val="TableContents"/>
              <w:bidi w:val="0"/>
              <w:spacing w:before="0" w:after="283"/>
              <w:jc w:val="left"/>
              <w:rPr/>
            </w:pPr>
            <w:r>
              <w:rPr/>
              <w:t>(b)</w:t>
            </w:r>
          </w:p>
        </w:tc>
        <w:tc>
          <w:tcPr>
            <w:tcW w:w="90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Reporting Person Percentage of Class Rodney Hodges 13.4% Geneva Holding Company (GHC) SA 13.4% Geneva Trust Company (GTC) SA 13.4% Centaurus Investments Limited 12.9% Xenia Venture Capital Limited 9.3%  % </w:t>
            </w:r>
          </w:p>
        </w:tc>
      </w:tr>
      <w:tr>
        <w:trPr/>
        <w:tc>
          <w:tcPr>
            <w:tcW w:w="1176" w:type="dxa"/>
            <w:tcBorders/>
            <w:vAlign w:val="center"/>
          </w:tcPr>
          <w:p>
            <w:pPr>
              <w:pStyle w:val="TableContents"/>
              <w:bidi w:val="0"/>
              <w:spacing w:before="0" w:after="283"/>
              <w:jc w:val="left"/>
              <w:rPr/>
            </w:pPr>
            <w:r>
              <w:rPr/>
              <w:t>(c)</w:t>
            </w:r>
          </w:p>
        </w:tc>
        <w:tc>
          <w:tcPr>
            <w:tcW w:w="9029" w:type="dxa"/>
            <w:tcBorders/>
            <w:vAlign w:val="center"/>
          </w:tcPr>
          <w:p>
            <w:pPr>
              <w:pStyle w:val="TableContents"/>
              <w:bidi w:val="0"/>
              <w:spacing w:before="0" w:after="283"/>
              <w:jc w:val="left"/>
              <w:rPr/>
            </w:pPr>
            <w:r>
              <w:rPr/>
              <w:t xml:space="preserve">Number of shares as to which the person has: </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Rodney Hodges: 0 Geneva Holding Company (GHC) SA: 0 Geneva Trust Company (GTC) SA: 0 Centaurus Investments Limited: 0 Xenia Venture Capital Limited: 0</w:t>
            </w:r>
          </w:p>
          <w:p>
            <w:pPr>
              <w:pStyle w:val="TableContents"/>
              <w:bidi w:val="0"/>
              <w:spacing w:before="0" w:after="0"/>
              <w:jc w:val="left"/>
              <w:rPr/>
            </w:pPr>
            <w:r>
              <w:rPr/>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Rodney Hodges: 2,722,707 Geneva Holding Company (GHC) SA: 2,722,707 Geneva Trust Company (GTC) SA: 2,722,707 Centaurus Investments Limited: 2,624,307 Xenia Venture Capital Limited: 1,892,462</w:t>
            </w:r>
          </w:p>
          <w:p>
            <w:pPr>
              <w:pStyle w:val="TableContents"/>
              <w:bidi w:val="0"/>
              <w:spacing w:before="0" w:after="0"/>
              <w:jc w:val="left"/>
              <w:rPr/>
            </w:pPr>
            <w:r>
              <w:rPr/>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Rodney Hodges: 0 Geneva Holding Company (GHC) SA: 0 Geneva Trust Company (GTC) SA: 0 Centaurus Investments Limited: 0 Xenia Venture Capital Limited: 0</w:t>
            </w:r>
          </w:p>
          <w:p>
            <w:pPr>
              <w:pStyle w:val="TableContents"/>
              <w:bidi w:val="0"/>
              <w:spacing w:before="0" w:after="0"/>
              <w:jc w:val="left"/>
              <w:rPr/>
            </w:pPr>
            <w:r>
              <w:rPr/>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Rodney Hodges: 2,722,707 Geneva Holding Company (GHC) SA: 2,722,707 Geneva Trust Company (GTC) SA: 2,722,707 Centaurus Investments Limited: 2,624,307 Xenia Venture Capital Limited: 1,892,462 Based on information contained in the Report on Form 6-K filed by the Issuer on August 12, 2026, there were 20,311,766 Ordinary Shares of the Issuer outstanding as of June 30, 2026.</w:t>
            </w:r>
          </w:p>
          <w:p>
            <w:pPr>
              <w:pStyle w:val="TableContents"/>
              <w:bidi w:val="0"/>
              <w:spacing w:before="0" w:after="0"/>
              <w:jc w:val="left"/>
              <w:rPr/>
            </w:pPr>
            <w:r>
              <w:rPr/>
            </w:r>
          </w:p>
        </w:tc>
      </w:tr>
      <w:tr>
        <w:trPr/>
        <w:tc>
          <w:tcPr>
            <w:tcW w:w="1176" w:type="dxa"/>
            <w:tcBorders/>
            <w:vAlign w:val="center"/>
          </w:tcPr>
          <w:p>
            <w:pPr>
              <w:pStyle w:val="TableContents"/>
              <w:bidi w:val="0"/>
              <w:spacing w:before="0" w:after="283"/>
              <w:jc w:val="left"/>
              <w:rPr/>
            </w:pPr>
            <w:r>
              <w:rPr/>
              <w:t>Item 5.</w:t>
            </w:r>
          </w:p>
        </w:tc>
        <w:tc>
          <w:tcPr>
            <w:tcW w:w="9029" w:type="dxa"/>
            <w:tcBorders/>
            <w:vAlign w:val="center"/>
          </w:tcPr>
          <w:p>
            <w:pPr>
              <w:pStyle w:val="TableContents"/>
              <w:bidi w:val="0"/>
              <w:spacing w:before="0" w:after="283"/>
              <w:jc w:val="left"/>
              <w:rPr/>
            </w:pPr>
            <w:r>
              <w:rPr/>
              <w:t>Ownership of 5 Percent or Less of a Class.</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sz w:val="4"/>
                <w:szCs w:val="4"/>
              </w:rPr>
            </w:pPr>
            <w:r>
              <w:rPr>
                <w:sz w:val="4"/>
                <w:szCs w:val="4"/>
              </w:rPr>
            </w:r>
          </w:p>
        </w:tc>
      </w:tr>
      <w:tr>
        <w:trPr/>
        <w:tc>
          <w:tcPr>
            <w:tcW w:w="1176" w:type="dxa"/>
            <w:tcBorders/>
            <w:vAlign w:val="center"/>
          </w:tcPr>
          <w:p>
            <w:pPr>
              <w:pStyle w:val="TableContents"/>
              <w:bidi w:val="0"/>
              <w:spacing w:before="0" w:after="283"/>
              <w:jc w:val="left"/>
              <w:rPr/>
            </w:pPr>
            <w:r>
              <w:rPr/>
              <w:t>Item 6.</w:t>
            </w:r>
          </w:p>
        </w:tc>
        <w:tc>
          <w:tcPr>
            <w:tcW w:w="9029" w:type="dxa"/>
            <w:tcBorders/>
            <w:vAlign w:val="center"/>
          </w:tcPr>
          <w:p>
            <w:pPr>
              <w:pStyle w:val="TableContents"/>
              <w:bidi w:val="0"/>
              <w:spacing w:before="0" w:after="283"/>
              <w:jc w:val="left"/>
              <w:rPr/>
            </w:pPr>
            <w:r>
              <w:rPr/>
              <w:t>Ownership of more than 5 Percent on Behalf of Another Person.</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0"/>
              <w:jc w:val="left"/>
              <w:rPr/>
            </w:pPr>
            <w:r>
              <w:rPr/>
              <w:t xml:space="preserve">Not Applicable </w:t>
            </w:r>
          </w:p>
        </w:tc>
      </w:tr>
      <w:tr>
        <w:trPr/>
        <w:tc>
          <w:tcPr>
            <w:tcW w:w="1176" w:type="dxa"/>
            <w:tcBorders/>
            <w:vAlign w:val="center"/>
          </w:tcPr>
          <w:p>
            <w:pPr>
              <w:pStyle w:val="TableContents"/>
              <w:bidi w:val="0"/>
              <w:spacing w:before="0" w:after="283"/>
              <w:jc w:val="left"/>
              <w:rPr/>
            </w:pPr>
            <w:r>
              <w:rPr/>
              <w:t>Item 7.</w:t>
            </w:r>
          </w:p>
        </w:tc>
        <w:tc>
          <w:tcPr>
            <w:tcW w:w="90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0"/>
              <w:jc w:val="left"/>
              <w:rPr/>
            </w:pPr>
            <w:r>
              <w:rPr/>
              <w:t xml:space="preserve">Not Applicable </w:t>
            </w:r>
          </w:p>
        </w:tc>
      </w:tr>
      <w:tr>
        <w:trPr/>
        <w:tc>
          <w:tcPr>
            <w:tcW w:w="1176" w:type="dxa"/>
            <w:tcBorders/>
            <w:vAlign w:val="center"/>
          </w:tcPr>
          <w:p>
            <w:pPr>
              <w:pStyle w:val="TableContents"/>
              <w:bidi w:val="0"/>
              <w:spacing w:before="0" w:after="283"/>
              <w:jc w:val="left"/>
              <w:rPr/>
            </w:pPr>
            <w:r>
              <w:rPr/>
              <w:t>Item 8.</w:t>
            </w:r>
          </w:p>
        </w:tc>
        <w:tc>
          <w:tcPr>
            <w:tcW w:w="9029" w:type="dxa"/>
            <w:tcBorders/>
            <w:vAlign w:val="center"/>
          </w:tcPr>
          <w:p>
            <w:pPr>
              <w:pStyle w:val="TableContents"/>
              <w:bidi w:val="0"/>
              <w:spacing w:before="0" w:after="283"/>
              <w:jc w:val="left"/>
              <w:rPr/>
            </w:pPr>
            <w:r>
              <w:rPr/>
              <w:t>Identification and Classification of Members of the Group.</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0"/>
              <w:jc w:val="left"/>
              <w:rPr/>
            </w:pPr>
            <w:r>
              <w:rPr/>
              <w:t xml:space="preserve">Not Applicable </w:t>
            </w:r>
          </w:p>
        </w:tc>
      </w:tr>
      <w:tr>
        <w:trPr/>
        <w:tc>
          <w:tcPr>
            <w:tcW w:w="1176" w:type="dxa"/>
            <w:tcBorders/>
            <w:vAlign w:val="center"/>
          </w:tcPr>
          <w:p>
            <w:pPr>
              <w:pStyle w:val="TableContents"/>
              <w:bidi w:val="0"/>
              <w:spacing w:before="0" w:after="283"/>
              <w:jc w:val="left"/>
              <w:rPr/>
            </w:pPr>
            <w:r>
              <w:rPr/>
              <w:t>Item 9.</w:t>
            </w:r>
          </w:p>
        </w:tc>
        <w:tc>
          <w:tcPr>
            <w:tcW w:w="9029" w:type="dxa"/>
            <w:tcBorders/>
            <w:vAlign w:val="center"/>
          </w:tcPr>
          <w:p>
            <w:pPr>
              <w:pStyle w:val="TableContents"/>
              <w:bidi w:val="0"/>
              <w:spacing w:before="0" w:after="283"/>
              <w:jc w:val="left"/>
              <w:rPr/>
            </w:pPr>
            <w:r>
              <w:rPr/>
              <w:t>Notice of Dissolution of Group.</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Rodney Hodges</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Rodney Hodges</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Rodney Hodges</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Geneva Holding Company (GHC) SA</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Rodney Hodges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Rodney Hodges/Authorized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Tobias Reinmann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Tobias Reinmann/Authorized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Geneva Trust Company (GTC) SA</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Rodney Hodges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Rodney Hodges/Authorized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Tobias Reinmann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Tobias Reinmann/Authorized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Centaurus Investments Limited</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Rodney Hodges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Rodney Hodges/Authorized Signatory for and on behalf of Champel Directors Limited</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Tobias Reinmann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Tobias Reinmann/Authorized Signatory for and on behalf of Florissant Global Limited</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Xenia Venture Capital Limited</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Eli Sorzon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Eli Sorzon/Authorized Signatory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99.1 Joint Filing Agreement, dated September 20, 2023, among Rodney Hodges, Geneva Holding Company (GHC) SA, Geneva Trust Company (GTC) SA, Centaurus Investments Limited, POD Sarl and Xenia Venture Capital Limited (incorporated by reference to Exhibit 99.1 to the Schedule 13G filed Centaurus Investments Limited by on September 20, 2023). https://www.sec.gov/Archives/edgar/data/1611842/000121390023078066/ea185222ex99-1_polypid.htm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2066</Words>
  <Characters>11121</Characters>
  <CharactersWithSpaces>13053</CharactersWithSpaces>
  <Paragraphs>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