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231-6k_polypid.htm"/>
      <w:bookmarkStart w:id="1" w:name="ksea03002316k_polypid"/>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Month of: August 2026 (Report No. 2)</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001-38428</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PolyPid Ltd.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Hasivim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 495376,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of Foreign Private Issuer on Form 6-K (this “Form 6-K”) consists of PolyPid Ltd.’s (the “Company”): (i) Interim Condensed Consolidated Financial Statements as of June 30, 2026, which is attached hereto as Exhibit 99.1; and (ii) Management’s Discussion and Analysis of Financial Condition and Results of Operations for the six months ended June 30, 2026, which is attached hereto as Exhibit 99.2.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contents of this Form 6-K are incorporated by reference into the Registrant’s registration statements on Form F-3 (File No. </w:t>
      </w:r>
      <w:hyperlink r:id="rId2">
        <w:r>
          <w:rPr>
            <w:rStyle w:val="InternetLink"/>
            <w:rFonts w:ascii="Times New Roman;Times;Serif" w:hAnsi="Times New Roman;Times;Serif"/>
            <w:b w:val="false"/>
            <w:i w:val="false"/>
            <w:caps w:val="false"/>
            <w:smallCaps w:val="false"/>
            <w:sz w:val="20"/>
          </w:rPr>
          <w:t>333-276826</w:t>
        </w:r>
      </w:hyperlink>
      <w:r>
        <w:rPr>
          <w:rFonts w:ascii="Times New Roman;Times;Serif" w:hAnsi="Times New Roman;Times;Serif"/>
          <w:b w:val="false"/>
          <w:i w:val="false"/>
          <w:caps w:val="false"/>
          <w:smallCaps w:val="false"/>
          <w:sz w:val="20"/>
        </w:rPr>
        <w:t>, File No. </w:t>
      </w:r>
      <w:hyperlink r:id="rId3">
        <w:r>
          <w:rPr>
            <w:rStyle w:val="InternetLink"/>
            <w:rFonts w:ascii="Times New Roman;Times;Serif" w:hAnsi="Times New Roman;Times;Serif"/>
            <w:b w:val="false"/>
            <w:i w:val="false"/>
            <w:caps w:val="false"/>
            <w:smallCaps w:val="false"/>
            <w:sz w:val="20"/>
          </w:rPr>
          <w:t>333-280658</w:t>
        </w:r>
      </w:hyperlink>
      <w:r>
        <w:rPr>
          <w:rFonts w:ascii="Times New Roman;Times;Serif" w:hAnsi="Times New Roman;Times;Serif"/>
          <w:b w:val="false"/>
          <w:i w:val="false"/>
          <w:caps w:val="false"/>
          <w:smallCaps w:val="false"/>
          <w:sz w:val="20"/>
        </w:rPr>
        <w:t>, File No. </w:t>
      </w:r>
      <w:hyperlink r:id="rId4">
        <w:r>
          <w:rPr>
            <w:rStyle w:val="InternetLink"/>
            <w:rFonts w:ascii="Times New Roman;Times;Serif" w:hAnsi="Times New Roman;Times;Serif"/>
            <w:b w:val="false"/>
            <w:i w:val="false"/>
            <w:caps w:val="false"/>
            <w:smallCaps w:val="false"/>
            <w:sz w:val="20"/>
          </w:rPr>
          <w:t>333-281863</w:t>
        </w:r>
      </w:hyperlink>
      <w:r>
        <w:rPr>
          <w:rFonts w:ascii="Times New Roman;Times;Serif" w:hAnsi="Times New Roman;Times;Serif"/>
          <w:b w:val="false"/>
          <w:i w:val="false"/>
          <w:caps w:val="false"/>
          <w:smallCaps w:val="false"/>
          <w:sz w:val="20"/>
        </w:rPr>
        <w:t>, File No. </w:t>
      </w:r>
      <w:hyperlink r:id="rId5">
        <w:r>
          <w:rPr>
            <w:rStyle w:val="InternetLink"/>
            <w:rFonts w:ascii="Times New Roman;Times;Serif" w:hAnsi="Times New Roman;Times;Serif"/>
            <w:b w:val="false"/>
            <w:i w:val="false"/>
            <w:caps w:val="false"/>
            <w:smallCaps w:val="false"/>
            <w:sz w:val="20"/>
          </w:rPr>
          <w:t>333-284376</w:t>
        </w:r>
      </w:hyperlink>
      <w:r>
        <w:rPr>
          <w:rFonts w:ascii="Times New Roman;Times;Serif" w:hAnsi="Times New Roman;Times;Serif"/>
          <w:b w:val="false"/>
          <w:i w:val="false"/>
          <w:caps w:val="false"/>
          <w:smallCaps w:val="false"/>
          <w:sz w:val="20"/>
        </w:rPr>
        <w:t xml:space="preserve"> and File No. </w:t>
      </w:r>
      <w:hyperlink r:id="rId6">
        <w:r>
          <w:rPr>
            <w:rStyle w:val="InternetLink"/>
            <w:rFonts w:ascii="Times New Roman;Times;Serif" w:hAnsi="Times New Roman;Times;Serif"/>
            <w:b w:val="false"/>
            <w:i w:val="false"/>
            <w:caps w:val="false"/>
            <w:smallCaps w:val="false"/>
            <w:sz w:val="20"/>
          </w:rPr>
          <w:t>333-289034</w:t>
        </w:r>
      </w:hyperlink>
      <w:r>
        <w:rPr>
          <w:rFonts w:ascii="Times New Roman;Times;Serif" w:hAnsi="Times New Roman;Times;Serif"/>
          <w:b w:val="false"/>
          <w:i w:val="false"/>
          <w:caps w:val="false"/>
          <w:smallCaps w:val="false"/>
          <w:sz w:val="20"/>
        </w:rPr>
        <w:t>)  and Form S-8 (File No. </w:t>
      </w:r>
      <w:hyperlink r:id="rId7">
        <w:r>
          <w:rPr>
            <w:rStyle w:val="InternetLink"/>
            <w:rFonts w:ascii="Times New Roman;Times;Serif" w:hAnsi="Times New Roman;Times;Serif"/>
            <w:b w:val="false"/>
            <w:i w:val="false"/>
            <w:caps w:val="false"/>
            <w:smallCaps w:val="false"/>
            <w:sz w:val="20"/>
          </w:rPr>
          <w:t>333-239517</w:t>
        </w:r>
      </w:hyperlink>
      <w:r>
        <w:rPr>
          <w:rFonts w:ascii="Times New Roman;Times;Serif" w:hAnsi="Times New Roman;Times;Serif"/>
          <w:b w:val="false"/>
          <w:i w:val="false"/>
          <w:caps w:val="false"/>
          <w:smallCaps w:val="false"/>
          <w:sz w:val="20"/>
        </w:rPr>
        <w:t>, File No. </w:t>
      </w:r>
      <w:hyperlink r:id="rId8">
        <w:r>
          <w:rPr>
            <w:rStyle w:val="InternetLink"/>
            <w:rFonts w:ascii="Times New Roman;Times;Serif" w:hAnsi="Times New Roman;Times;Serif"/>
            <w:b w:val="false"/>
            <w:i w:val="false"/>
            <w:caps w:val="false"/>
            <w:smallCaps w:val="false"/>
            <w:sz w:val="20"/>
          </w:rPr>
          <w:t>333-271060</w:t>
        </w:r>
      </w:hyperlink>
      <w:r>
        <w:rPr>
          <w:rFonts w:ascii="Times New Roman;Times;Serif" w:hAnsi="Times New Roman;Times;Serif"/>
          <w:b w:val="false"/>
          <w:i w:val="false"/>
          <w:caps w:val="false"/>
          <w:smallCaps w:val="false"/>
          <w:sz w:val="20"/>
        </w:rPr>
        <w:t>, File No. </w:t>
      </w:r>
      <w:hyperlink r:id="rId9">
        <w:r>
          <w:rPr>
            <w:rStyle w:val="InternetLink"/>
            <w:rFonts w:ascii="Times New Roman;Times;Serif" w:hAnsi="Times New Roman;Times;Serif"/>
            <w:b w:val="false"/>
            <w:i w:val="false"/>
            <w:caps w:val="false"/>
            <w:smallCaps w:val="false"/>
            <w:sz w:val="20"/>
          </w:rPr>
          <w:t>333-277703</w:t>
        </w:r>
      </w:hyperlink>
      <w:r>
        <w:rPr>
          <w:rFonts w:ascii="Times New Roman;Times;Serif" w:hAnsi="Times New Roman;Times;Serif"/>
          <w:b w:val="false"/>
          <w:i w:val="false"/>
          <w:caps w:val="false"/>
          <w:smallCaps w:val="false"/>
          <w:sz w:val="20"/>
        </w:rPr>
        <w:t>, File No. </w:t>
      </w:r>
      <w:hyperlink r:id="rId10">
        <w:r>
          <w:rPr>
            <w:rStyle w:val="InternetLink"/>
            <w:rFonts w:ascii="Times New Roman;Times;Serif" w:hAnsi="Times New Roman;Times;Serif"/>
            <w:b w:val="false"/>
            <w:i w:val="false"/>
            <w:caps w:val="false"/>
            <w:smallCaps w:val="false"/>
            <w:sz w:val="20"/>
          </w:rPr>
          <w:t>333-280662</w:t>
        </w:r>
      </w:hyperlink>
      <w:r>
        <w:rPr>
          <w:rFonts w:ascii="Times New Roman;Times;Serif" w:hAnsi="Times New Roman;Times;Serif"/>
          <w:b w:val="false"/>
          <w:i w:val="false"/>
          <w:caps w:val="false"/>
          <w:smallCaps w:val="false"/>
          <w:sz w:val="20"/>
        </w:rPr>
        <w:t xml:space="preserve">, File No. </w:t>
      </w:r>
      <w:hyperlink r:id="rId11">
        <w:r>
          <w:rPr>
            <w:rStyle w:val="InternetLink"/>
            <w:rFonts w:ascii="Times New Roman;Times;Serif" w:hAnsi="Times New Roman;Times;Serif"/>
            <w:b w:val="false"/>
            <w:i w:val="false"/>
            <w:caps w:val="false"/>
            <w:smallCaps w:val="false"/>
            <w:sz w:val="20"/>
          </w:rPr>
          <w:t>333-289570</w:t>
        </w:r>
      </w:hyperlink>
      <w:r>
        <w:rPr>
          <w:rFonts w:ascii="Times New Roman;Times;Serif" w:hAnsi="Times New Roman;Times;Serif"/>
          <w:b w:val="false"/>
          <w:i w:val="false"/>
          <w:caps w:val="false"/>
          <w:smallCaps w:val="false"/>
          <w:sz w:val="20"/>
        </w:rPr>
        <w:t xml:space="preserve"> and File No. </w:t>
      </w:r>
      <w:hyperlink r:id="rId12">
        <w:r>
          <w:rPr>
            <w:rStyle w:val="InternetLink"/>
            <w:rFonts w:ascii="Times New Roman;Times;Serif" w:hAnsi="Times New Roman;Times;Serif"/>
            <w:b w:val="false"/>
            <w:i w:val="false"/>
            <w:caps w:val="false"/>
            <w:smallCaps w:val="false"/>
            <w:sz w:val="20"/>
          </w:rPr>
          <w:t>333-298261</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855"/>
        <w:gridCol w:w="60"/>
        <w:gridCol w:w="9290"/>
      </w:tblGrid>
      <w:tr>
        <w:trPr/>
        <w:tc>
          <w:tcPr>
            <w:tcW w:w="855" w:type="dxa"/>
            <w:tcBorders>
              <w:bottom w:val="single" w:sz="12" w:space="0" w:color="000000"/>
            </w:tcBorders>
            <w:shd w:fill="FFFFFF" w:val="clear"/>
            <w:vAlign w:val="center"/>
          </w:tcPr>
          <w:p>
            <w:pPr>
              <w:pStyle w:val="TableContents"/>
              <w:bidi w:val="0"/>
              <w:spacing w:before="0" w:after="283"/>
              <w:jc w:val="both"/>
              <w:rPr>
                <w:b/>
              </w:rPr>
            </w:pPr>
            <w:r>
              <w:rPr>
                <w:b/>
              </w:rPr>
              <w:t>Exhibit No.</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90" w:type="dxa"/>
            <w:tcBorders/>
            <w:shd w:fill="FFFFFF" w:val="clear"/>
            <w:tcMar>
              <w:bottom w:w="0" w:type="dxa"/>
            </w:tcMar>
            <w:vAlign w:val="center"/>
          </w:tcPr>
          <w:p>
            <w:pPr>
              <w:pStyle w:val="TableContents"/>
              <w:bidi w:val="0"/>
              <w:spacing w:before="0" w:after="283"/>
              <w:jc w:val="both"/>
              <w:rPr/>
            </w:pPr>
            <w:r>
              <w:rPr/>
              <w:t> </w:t>
            </w:r>
          </w:p>
        </w:tc>
      </w:tr>
      <w:tr>
        <w:trPr/>
        <w:tc>
          <w:tcPr>
            <w:tcW w:w="855" w:type="dxa"/>
            <w:tcBorders/>
            <w:shd w:fill="CCEEFF" w:val="clear"/>
            <w:tcMar>
              <w:bottom w:w="0" w:type="dxa"/>
            </w:tcMar>
            <w:vAlign w:val="center"/>
          </w:tcPr>
          <w:p>
            <w:pPr>
              <w:pStyle w:val="TableContents"/>
              <w:bidi w:val="0"/>
              <w:spacing w:before="0" w:after="283"/>
              <w:jc w:val="both"/>
              <w:rPr/>
            </w:pPr>
            <w:r>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90" w:type="dxa"/>
            <w:tcBorders/>
            <w:shd w:fill="CCEEFF" w:val="clear"/>
            <w:tcMar>
              <w:bottom w:w="0" w:type="dxa"/>
            </w:tcMar>
            <w:vAlign w:val="center"/>
          </w:tcPr>
          <w:p>
            <w:pPr>
              <w:pStyle w:val="TableContents"/>
              <w:bidi w:val="0"/>
              <w:spacing w:before="0" w:after="283"/>
              <w:jc w:val="both"/>
              <w:rPr/>
            </w:pPr>
            <w:hyperlink w:anchor="ea030023101ex99-1.htm">
              <w:r>
                <w:rPr>
                  <w:rStyle w:val="InternetLink"/>
                </w:rPr>
                <w:t>PolyPid Ltd.’s Interim Condensed Financial Statements as of June 30, 2026.</w:t>
              </w:r>
            </w:hyperlink>
          </w:p>
        </w:tc>
      </w:tr>
      <w:tr>
        <w:trPr/>
        <w:tc>
          <w:tcPr>
            <w:tcW w:w="855" w:type="dxa"/>
            <w:tcBorders/>
            <w:shd w:fill="FFFFFF" w:val="clear"/>
            <w:tcMar>
              <w:bottom w:w="0" w:type="dxa"/>
            </w:tcMar>
            <w:vAlign w:val="center"/>
          </w:tcPr>
          <w:p>
            <w:pPr>
              <w:pStyle w:val="TableContents"/>
              <w:bidi w:val="0"/>
              <w:spacing w:before="0" w:after="283"/>
              <w:jc w:val="both"/>
              <w:rPr/>
            </w:pPr>
            <w:r>
              <w:rPr/>
              <w:t>99.2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90" w:type="dxa"/>
            <w:tcBorders/>
            <w:shd w:fill="FFFFFF" w:val="clear"/>
            <w:tcMar>
              <w:bottom w:w="0" w:type="dxa"/>
            </w:tcMar>
            <w:vAlign w:val="center"/>
          </w:tcPr>
          <w:p>
            <w:pPr>
              <w:pStyle w:val="TableContents"/>
              <w:bidi w:val="0"/>
              <w:spacing w:before="0" w:after="283"/>
              <w:jc w:val="both"/>
              <w:rPr/>
            </w:pPr>
            <w:hyperlink w:anchor="ea030023101ex99-2.htm">
              <w:r>
                <w:rPr>
                  <w:rStyle w:val="InternetLink"/>
                </w:rPr>
                <w:t>PolyPid Ltd.’s Management’s Discussion and Analysis of Financial Condition and Results of Operation for the Six Months Ended June 30, 2026.</w:t>
              </w:r>
            </w:hyperlink>
          </w:p>
        </w:tc>
      </w:tr>
      <w:tr>
        <w:trPr/>
        <w:tc>
          <w:tcPr>
            <w:tcW w:w="855" w:type="dxa"/>
            <w:tcBorders/>
            <w:shd w:fill="CCEEFF" w:val="clear"/>
            <w:tcMar>
              <w:bottom w:w="0" w:type="dxa"/>
            </w:tcMar>
            <w:vAlign w:val="center"/>
          </w:tcPr>
          <w:p>
            <w:pPr>
              <w:pStyle w:val="TableContents"/>
              <w:bidi w:val="0"/>
              <w:spacing w:before="0" w:after="283"/>
              <w:jc w:val="both"/>
              <w:rPr/>
            </w:pPr>
            <w:r>
              <w:rPr/>
              <w:t>101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90" w:type="dxa"/>
            <w:tcBorders/>
            <w:shd w:fill="CCEEFF" w:val="clear"/>
            <w:tcMar>
              <w:bottom w:w="0" w:type="dxa"/>
            </w:tcMar>
            <w:vAlign w:val="center"/>
          </w:tcPr>
          <w:p>
            <w:pPr>
              <w:pStyle w:val="TableContents"/>
              <w:bidi w:val="0"/>
              <w:spacing w:before="0" w:after="283"/>
              <w:jc w:val="both"/>
              <w:rPr/>
            </w:pPr>
            <w:r>
              <w:rPr/>
              <w:t>The following financial information from the Registrant’s Interim Condensed Financial Statements as of June 30, 2026, formatted in XBRL (eXtensible Business Reporting Language): (i) Interim Condensed Consolidated Balance Sheets, (ii) Interim Condensed Consolidated Statements of Operations, (iii) Interim Condensed Consolidated Statements of Shareholders’ Equity; (iv) Interim Condensed Consolidated Statements of Cash Flows, and (v) Notes to Interim Condensed Consolidated Financial Statements.</w:t>
            </w:r>
          </w:p>
        </w:tc>
      </w:tr>
      <w:tr>
        <w:trPr/>
        <w:tc>
          <w:tcPr>
            <w:tcW w:w="855" w:type="dxa"/>
            <w:tcBorders/>
            <w:shd w:fill="FFFFFF" w:val="clear"/>
            <w:tcMar>
              <w:bottom w:w="0" w:type="dxa"/>
            </w:tcMar>
            <w:vAlign w:val="center"/>
          </w:tcPr>
          <w:p>
            <w:pPr>
              <w:pStyle w:val="TableContents"/>
              <w:bidi w:val="0"/>
              <w:spacing w:before="0" w:after="283"/>
              <w:jc w:val="both"/>
              <w:rPr/>
            </w:pPr>
            <w:r>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90" w:type="dxa"/>
            <w:tcBorders/>
            <w:shd w:fill="FFFF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765" w:type="dxa"/>
        <w:jc w:val="left"/>
        <w:tblInd w:w="0" w:type="dxa"/>
        <w:tblLayout w:type="fixed"/>
        <w:tblCellMar>
          <w:top w:w="0" w:type="dxa"/>
          <w:left w:w="0" w:type="dxa"/>
          <w:bottom w:w="0" w:type="dxa"/>
          <w:right w:w="0" w:type="dxa"/>
        </w:tblCellMar>
      </w:tblPr>
      <w:tblGrid>
        <w:gridCol w:w="2195"/>
        <w:gridCol w:w="365"/>
        <w:gridCol w:w="650"/>
        <w:gridCol w:w="2555"/>
      </w:tblGrid>
      <w:tr>
        <w:trPr/>
        <w:tc>
          <w:tcPr>
            <w:tcW w:w="2195" w:type="dxa"/>
            <w:tcBorders/>
            <w:vAlign w:val="center"/>
          </w:tcPr>
          <w:p>
            <w:pPr>
              <w:pStyle w:val="TableContents"/>
              <w:bidi w:val="0"/>
              <w:spacing w:before="0" w:after="283"/>
              <w:jc w:val="both"/>
              <w:rPr/>
            </w:pPr>
            <w:r>
              <w:rPr/>
              <w:t> </w:t>
            </w:r>
          </w:p>
        </w:tc>
        <w:tc>
          <w:tcPr>
            <w:tcW w:w="3570" w:type="dxa"/>
            <w:gridSpan w:val="3"/>
            <w:tcBorders/>
            <w:vAlign w:val="center"/>
          </w:tcPr>
          <w:p>
            <w:pPr>
              <w:pStyle w:val="TableContents"/>
              <w:bidi w:val="0"/>
              <w:spacing w:before="0" w:after="283"/>
              <w:jc w:val="both"/>
              <w:rPr>
                <w:b/>
              </w:rPr>
            </w:pPr>
            <w:r>
              <w:rPr>
                <w:b/>
              </w:rPr>
              <w:t>POLYPID LTD.</w:t>
            </w:r>
          </w:p>
        </w:tc>
      </w:tr>
      <w:tr>
        <w:trPr/>
        <w:tc>
          <w:tcPr>
            <w:tcW w:w="21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205" w:type="dxa"/>
            <w:gridSpan w:val="2"/>
            <w:tcBorders/>
            <w:vAlign w:val="center"/>
          </w:tcPr>
          <w:p>
            <w:pPr>
              <w:pStyle w:val="TableContents"/>
              <w:bidi w:val="0"/>
              <w:spacing w:before="0" w:after="283"/>
              <w:jc w:val="both"/>
              <w:rPr/>
            </w:pPr>
            <w:r>
              <w:rPr/>
              <w:t> </w:t>
            </w:r>
          </w:p>
        </w:tc>
      </w:tr>
      <w:tr>
        <w:trPr/>
        <w:tc>
          <w:tcPr>
            <w:tcW w:w="2195" w:type="dxa"/>
            <w:tcBorders/>
            <w:vAlign w:val="center"/>
          </w:tcPr>
          <w:p>
            <w:pPr>
              <w:pStyle w:val="TableContents"/>
              <w:bidi w:val="0"/>
              <w:spacing w:before="0" w:after="283"/>
              <w:jc w:val="both"/>
              <w:rPr/>
            </w:pPr>
            <w:r>
              <w:rPr/>
              <w:t>Date: August 12, 2026</w:t>
            </w:r>
          </w:p>
        </w:tc>
        <w:tc>
          <w:tcPr>
            <w:tcW w:w="365" w:type="dxa"/>
            <w:tcBorders/>
            <w:vAlign w:val="center"/>
          </w:tcPr>
          <w:p>
            <w:pPr>
              <w:pStyle w:val="TableContents"/>
              <w:bidi w:val="0"/>
              <w:spacing w:before="0" w:after="283"/>
              <w:jc w:val="both"/>
              <w:rPr/>
            </w:pPr>
            <w:r>
              <w:rPr/>
              <w:t>By:</w:t>
            </w:r>
          </w:p>
        </w:tc>
        <w:tc>
          <w:tcPr>
            <w:tcW w:w="3205" w:type="dxa"/>
            <w:gridSpan w:val="2"/>
            <w:tcBorders>
              <w:bottom w:val="single" w:sz="12" w:space="0" w:color="000000"/>
            </w:tcBorders>
            <w:tcMar>
              <w:bottom w:w="28" w:type="dxa"/>
            </w:tcMar>
            <w:vAlign w:val="center"/>
          </w:tcPr>
          <w:p>
            <w:pPr>
              <w:pStyle w:val="TableContents"/>
              <w:bidi w:val="0"/>
              <w:spacing w:before="0" w:after="283"/>
              <w:jc w:val="both"/>
              <w:rPr/>
            </w:pPr>
            <w:r>
              <w:rPr/>
              <w:t>/s/ Dikla Czaczkes Akselbrad</w:t>
            </w:r>
          </w:p>
        </w:tc>
      </w:tr>
      <w:tr>
        <w:trPr/>
        <w:tc>
          <w:tcPr>
            <w:tcW w:w="21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555" w:type="dxa"/>
            <w:tcBorders/>
            <w:vAlign w:val="center"/>
          </w:tcPr>
          <w:p>
            <w:pPr>
              <w:pStyle w:val="TableContents"/>
              <w:bidi w:val="0"/>
              <w:spacing w:before="0" w:after="283"/>
              <w:jc w:val="both"/>
              <w:rPr/>
            </w:pPr>
            <w:r>
              <w:rPr/>
              <w:t>Dikla Czaczkes Akselbrad</w:t>
            </w:r>
          </w:p>
        </w:tc>
      </w:tr>
      <w:tr>
        <w:trPr/>
        <w:tc>
          <w:tcPr>
            <w:tcW w:w="21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555"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23101ex99-1.htm"/>
      <w:bookmarkStart w:id="3" w:name="ksea0300231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 AND ITS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8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p>
      <w:pPr>
        <w:pStyle w:val="TextBody"/>
        <w:bidi w:val="0"/>
        <w:spacing w:before="0" w:after="0"/>
        <w:ind w:left="0" w:right="0" w:hanging="0"/>
        <w:jc w:val="center"/>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115"/>
        <w:gridCol w:w="590"/>
      </w:tblGrid>
      <w:tr>
        <w:trPr/>
        <w:tc>
          <w:tcPr>
            <w:tcW w:w="7115"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711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7115" w:type="dxa"/>
            <w:tcBorders/>
            <w:shd w:fill="CCEEFF" w:val="clear"/>
            <w:vAlign w:val="center"/>
          </w:tcPr>
          <w:p>
            <w:pPr>
              <w:pStyle w:val="TableContents"/>
              <w:bidi w:val="0"/>
              <w:spacing w:before="0" w:after="283"/>
              <w:jc w:val="left"/>
              <w:rPr/>
            </w:pPr>
            <w:hyperlink w:anchor="f_001">
              <w:r>
                <w:rPr>
                  <w:rStyle w:val="InternetLink"/>
                  <w:b/>
                </w:rPr>
                <w:t>Interim Condensed Consolidated Balance Sheets</w:t>
              </w:r>
            </w:hyperlink>
          </w:p>
        </w:tc>
        <w:tc>
          <w:tcPr>
            <w:tcW w:w="590" w:type="dxa"/>
            <w:tcBorders/>
            <w:shd w:fill="CCEEFF" w:val="clear"/>
            <w:vAlign w:val="center"/>
          </w:tcPr>
          <w:p>
            <w:pPr>
              <w:pStyle w:val="TableContents"/>
              <w:bidi w:val="0"/>
              <w:spacing w:before="0" w:after="283"/>
              <w:jc w:val="center"/>
              <w:rPr>
                <w:b/>
              </w:rPr>
            </w:pPr>
            <w:r>
              <w:rPr>
                <w:b/>
              </w:rPr>
              <w:t>2 - 3</w:t>
            </w:r>
          </w:p>
        </w:tc>
      </w:tr>
      <w:tr>
        <w:trPr/>
        <w:tc>
          <w:tcPr>
            <w:tcW w:w="711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r>
      <w:tr>
        <w:trPr/>
        <w:tc>
          <w:tcPr>
            <w:tcW w:w="7115" w:type="dxa"/>
            <w:tcBorders/>
            <w:shd w:fill="CCEEFF" w:val="clear"/>
            <w:vAlign w:val="center"/>
          </w:tcPr>
          <w:p>
            <w:pPr>
              <w:pStyle w:val="TableContents"/>
              <w:bidi w:val="0"/>
              <w:spacing w:before="0" w:after="283"/>
              <w:jc w:val="left"/>
              <w:rPr/>
            </w:pPr>
            <w:hyperlink w:anchor="f_002">
              <w:r>
                <w:rPr>
                  <w:rStyle w:val="InternetLink"/>
                  <w:b/>
                </w:rPr>
                <w:t>Interim Condensed Consolidated Statements of Operations</w:t>
              </w:r>
            </w:hyperlink>
            <w:r>
              <w:rPr>
                <w:b/>
              </w:rPr>
              <w:t xml:space="preserve"> </w:t>
            </w:r>
          </w:p>
        </w:tc>
        <w:tc>
          <w:tcPr>
            <w:tcW w:w="590" w:type="dxa"/>
            <w:tcBorders/>
            <w:shd w:fill="CCEEFF" w:val="clear"/>
            <w:vAlign w:val="center"/>
          </w:tcPr>
          <w:p>
            <w:pPr>
              <w:pStyle w:val="TableContents"/>
              <w:bidi w:val="0"/>
              <w:spacing w:before="0" w:after="283"/>
              <w:jc w:val="center"/>
              <w:rPr>
                <w:b/>
              </w:rPr>
            </w:pPr>
            <w:r>
              <w:rPr>
                <w:b/>
              </w:rPr>
              <w:t>4</w:t>
            </w:r>
          </w:p>
        </w:tc>
      </w:tr>
      <w:tr>
        <w:trPr/>
        <w:tc>
          <w:tcPr>
            <w:tcW w:w="711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r>
      <w:tr>
        <w:trPr/>
        <w:tc>
          <w:tcPr>
            <w:tcW w:w="7115" w:type="dxa"/>
            <w:tcBorders/>
            <w:shd w:fill="CCEEFF" w:val="clear"/>
            <w:vAlign w:val="center"/>
          </w:tcPr>
          <w:p>
            <w:pPr>
              <w:pStyle w:val="TableContents"/>
              <w:bidi w:val="0"/>
              <w:spacing w:before="0" w:after="283"/>
              <w:jc w:val="left"/>
              <w:rPr/>
            </w:pPr>
            <w:hyperlink w:anchor="f_003">
              <w:r>
                <w:rPr>
                  <w:rStyle w:val="InternetLink"/>
                  <w:b/>
                </w:rPr>
                <w:t>Interim Condensed Consolidated Statements of Shareholders’ Equity</w:t>
              </w:r>
            </w:hyperlink>
            <w:r>
              <w:rPr>
                <w:b/>
              </w:rPr>
              <w:t xml:space="preserve"> </w:t>
            </w:r>
          </w:p>
        </w:tc>
        <w:tc>
          <w:tcPr>
            <w:tcW w:w="590" w:type="dxa"/>
            <w:tcBorders/>
            <w:shd w:fill="CCEEFF" w:val="clear"/>
            <w:vAlign w:val="center"/>
          </w:tcPr>
          <w:p>
            <w:pPr>
              <w:pStyle w:val="TableContents"/>
              <w:bidi w:val="0"/>
              <w:spacing w:before="0" w:after="283"/>
              <w:jc w:val="center"/>
              <w:rPr>
                <w:b/>
              </w:rPr>
            </w:pPr>
            <w:r>
              <w:rPr>
                <w:b/>
              </w:rPr>
              <w:t>5</w:t>
            </w:r>
          </w:p>
        </w:tc>
      </w:tr>
      <w:tr>
        <w:trPr/>
        <w:tc>
          <w:tcPr>
            <w:tcW w:w="711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r>
      <w:tr>
        <w:trPr/>
        <w:tc>
          <w:tcPr>
            <w:tcW w:w="7115" w:type="dxa"/>
            <w:tcBorders/>
            <w:shd w:fill="CCEEFF" w:val="clear"/>
            <w:vAlign w:val="center"/>
          </w:tcPr>
          <w:p>
            <w:pPr>
              <w:pStyle w:val="TableContents"/>
              <w:bidi w:val="0"/>
              <w:spacing w:before="0" w:after="283"/>
              <w:jc w:val="left"/>
              <w:rPr/>
            </w:pPr>
            <w:hyperlink w:anchor="f_004">
              <w:r>
                <w:rPr>
                  <w:rStyle w:val="InternetLink"/>
                  <w:b/>
                </w:rPr>
                <w:t>Interim Condensed Consolidated Statements of Cash Flows</w:t>
              </w:r>
            </w:hyperlink>
          </w:p>
        </w:tc>
        <w:tc>
          <w:tcPr>
            <w:tcW w:w="590" w:type="dxa"/>
            <w:tcBorders/>
            <w:shd w:fill="CCEEFF" w:val="clear"/>
            <w:vAlign w:val="center"/>
          </w:tcPr>
          <w:p>
            <w:pPr>
              <w:pStyle w:val="TableContents"/>
              <w:bidi w:val="0"/>
              <w:spacing w:before="0" w:after="283"/>
              <w:jc w:val="center"/>
              <w:rPr>
                <w:b/>
              </w:rPr>
            </w:pPr>
            <w:r>
              <w:rPr>
                <w:b/>
              </w:rPr>
              <w:t>6 - 7</w:t>
            </w:r>
          </w:p>
        </w:tc>
      </w:tr>
      <w:tr>
        <w:trPr/>
        <w:tc>
          <w:tcPr>
            <w:tcW w:w="711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r>
      <w:tr>
        <w:trPr/>
        <w:tc>
          <w:tcPr>
            <w:tcW w:w="7115" w:type="dxa"/>
            <w:tcBorders/>
            <w:shd w:fill="CCEEFF" w:val="clear"/>
            <w:vAlign w:val="center"/>
          </w:tcPr>
          <w:p>
            <w:pPr>
              <w:pStyle w:val="TableContents"/>
              <w:bidi w:val="0"/>
              <w:spacing w:before="0" w:after="283"/>
              <w:jc w:val="left"/>
              <w:rPr/>
            </w:pPr>
            <w:hyperlink w:anchor="f_005">
              <w:r>
                <w:rPr>
                  <w:rStyle w:val="InternetLink"/>
                  <w:b/>
                </w:rPr>
                <w:t>Notes to Interim Condensed Consolidated Financial Statements</w:t>
              </w:r>
            </w:hyperlink>
          </w:p>
        </w:tc>
        <w:tc>
          <w:tcPr>
            <w:tcW w:w="590" w:type="dxa"/>
            <w:tcBorders/>
            <w:shd w:fill="CCEEFF" w:val="clear"/>
            <w:vAlign w:val="center"/>
          </w:tcPr>
          <w:p>
            <w:pPr>
              <w:pStyle w:val="TableContents"/>
              <w:bidi w:val="0"/>
              <w:spacing w:before="0" w:after="283"/>
              <w:jc w:val="center"/>
              <w:rPr>
                <w:b/>
              </w:rPr>
            </w:pPr>
            <w:r>
              <w:rPr>
                <w:b/>
              </w:rPr>
              <w:t>8 - 17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POLYPID LTD. AND ITS SUBSIDIARIES </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bookmarkStart w:id="4" w:name="f_001"/>
      <w:bookmarkEnd w:id="4"/>
      <w:r>
        <w:rPr>
          <w:rFonts w:ascii="Times New Roman;Times;Serif" w:hAnsi="Times New Roman;Times;Serif"/>
          <w:b/>
          <w:i w:val="false"/>
          <w:caps w:val="false"/>
          <w:smallCaps w:val="false"/>
          <w:sz w:val="20"/>
        </w:rPr>
        <w:t>INTERIM CONDENSED CONSOLIDATED BALANCE SHEETS (UNAUDITED)</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both"/>
        <w:rPr>
          <w:caps w:val="false"/>
          <w:smallCaps w:val="false"/>
        </w:rPr>
      </w:pPr>
      <w:r>
        <w:rPr>
          <w:caps w:val="false"/>
          <w:smallCaps w:val="false"/>
        </w:rPr>
        <w:t> </w:t>
      </w:r>
    </w:p>
    <w:tbl>
      <w:tblPr>
        <w:tblW w:w="6478" w:type="dxa"/>
        <w:jc w:val="left"/>
        <w:tblInd w:w="0" w:type="dxa"/>
        <w:tblLayout w:type="fixed"/>
        <w:tblCellMar>
          <w:top w:w="0" w:type="dxa"/>
          <w:left w:w="0" w:type="dxa"/>
          <w:bottom w:w="0" w:type="dxa"/>
          <w:right w:w="0" w:type="dxa"/>
        </w:tblCellMar>
      </w:tblPr>
      <w:tblGrid>
        <w:gridCol w:w="3935"/>
        <w:gridCol w:w="60"/>
        <w:gridCol w:w="149"/>
        <w:gridCol w:w="725"/>
        <w:gridCol w:w="60"/>
        <w:gridCol w:w="60"/>
        <w:gridCol w:w="241"/>
        <w:gridCol w:w="1173"/>
        <w:gridCol w:w="75"/>
      </w:tblGrid>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b/>
              </w:rPr>
            </w:pPr>
            <w:r>
              <w:rPr>
                <w:b/>
              </w:rPr>
              <w:t>ASSETS</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6,563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6,402</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Restricted deposits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193</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Short-term deposits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6,531</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Pre-launch inventories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1,106</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995</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u w:val="single"/>
              </w:rPr>
              <w:t>Total</w:t>
            </w:r>
            <w:r>
              <w:rPr/>
              <w:t xml:space="preserve">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8,886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15,227</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LONG-TERM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4,613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5,094</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1,675</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Long-term deposits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311</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u w:val="single"/>
              </w:rPr>
              <w:t>Total</w:t>
            </w:r>
            <w:r>
              <w:rPr/>
              <w:t xml:space="preserve"> long-term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6,348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7,080</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u w:val="single"/>
              </w:rPr>
              <w:t>Total</w:t>
            </w:r>
            <w:r>
              <w:rPr/>
              <w:t xml:space="preserve">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FFFFFF" w:val="clear"/>
            <w:tcMar>
              <w:bottom w:w="28" w:type="dxa"/>
            </w:tcMar>
            <w:vAlign w:val="center"/>
          </w:tcPr>
          <w:p>
            <w:pPr>
              <w:pStyle w:val="TableContents"/>
              <w:bidi w:val="0"/>
              <w:spacing w:before="0" w:after="283"/>
              <w:jc w:val="right"/>
              <w:rPr/>
            </w:pPr>
            <w:r>
              <w:rPr/>
              <w:t>15,234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22,307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POLYPID LTD. AND ITS SUBSIDIARIES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BALANCE SHEETS (UNAUDITED)</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03"/>
        <w:gridCol w:w="60"/>
        <w:gridCol w:w="140"/>
        <w:gridCol w:w="875"/>
        <w:gridCol w:w="95"/>
        <w:gridCol w:w="60"/>
        <w:gridCol w:w="159"/>
        <w:gridCol w:w="1002"/>
        <w:gridCol w:w="111"/>
      </w:tblGrid>
      <w:tr>
        <w:trPr/>
        <w:tc>
          <w:tcPr>
            <w:tcW w:w="7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7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7703" w:type="dxa"/>
            <w:tcBorders/>
            <w:vAlign w:val="center"/>
          </w:tcPr>
          <w:p>
            <w:pPr>
              <w:pStyle w:val="TableContents"/>
              <w:bidi w:val="0"/>
              <w:spacing w:before="0" w:after="283"/>
              <w:jc w:val="left"/>
              <w:rPr>
                <w:b/>
              </w:rPr>
            </w:pPr>
            <w:r>
              <w:rPr>
                <w:b/>
              </w:rPr>
              <w:t>LIABILITIES AND SHAREHOLDERS’ EQUITY</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r>
      <w:tr>
        <w:trPr/>
        <w:tc>
          <w:tcPr>
            <w:tcW w:w="7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both"/>
              <w:rPr/>
            </w:pPr>
            <w:r>
              <w:rPr/>
              <w:t> </w:t>
            </w:r>
          </w:p>
        </w:tc>
        <w:tc>
          <w:tcPr>
            <w:tcW w:w="111" w:type="dxa"/>
            <w:tcBorders/>
            <w:vAlign w:val="center"/>
          </w:tcPr>
          <w:p>
            <w:pPr>
              <w:pStyle w:val="TableContents"/>
              <w:bidi w:val="0"/>
              <w:spacing w:before="0" w:after="283"/>
              <w:jc w:val="left"/>
              <w:rPr/>
            </w:pPr>
            <w:r>
              <w:rPr/>
              <w:t> </w:t>
            </w:r>
          </w:p>
        </w:tc>
      </w:tr>
      <w:tr>
        <w:trPr/>
        <w:tc>
          <w:tcPr>
            <w:tcW w:w="7703" w:type="dxa"/>
            <w:tcBorders/>
            <w:vAlign w:val="center"/>
          </w:tcPr>
          <w:p>
            <w:pPr>
              <w:pStyle w:val="TableContents"/>
              <w:bidi w:val="0"/>
              <w:spacing w:before="0" w:after="283"/>
              <w:jc w:val="both"/>
              <w:rPr/>
            </w:pPr>
            <w:r>
              <w:rPr/>
              <w:t>CURRENT LIABILITIES: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both"/>
              <w:rPr/>
            </w:pPr>
            <w:r>
              <w:rPr/>
              <w:t> </w:t>
            </w:r>
          </w:p>
        </w:tc>
        <w:tc>
          <w:tcPr>
            <w:tcW w:w="111" w:type="dxa"/>
            <w:tcBorders/>
            <w:vAlign w:val="center"/>
          </w:tcPr>
          <w:p>
            <w:pPr>
              <w:pStyle w:val="TableContents"/>
              <w:bidi w:val="0"/>
              <w:spacing w:before="0" w:after="283"/>
              <w:jc w:val="left"/>
              <w:rPr/>
            </w:pPr>
            <w:r>
              <w:rPr/>
              <w:t> </w:t>
            </w:r>
          </w:p>
        </w:tc>
      </w:tr>
      <w:tr>
        <w:trPr/>
        <w:tc>
          <w:tcPr>
            <w:tcW w:w="7703" w:type="dxa"/>
            <w:tcBorders/>
            <w:shd w:fill="CCEEFF" w:val="clear"/>
            <w:vAlign w:val="center"/>
          </w:tcPr>
          <w:p>
            <w:pPr>
              <w:pStyle w:val="TableContents"/>
              <w:bidi w:val="0"/>
              <w:spacing w:before="0" w:after="283"/>
              <w:jc w:val="both"/>
              <w:rPr/>
            </w:pPr>
            <w:r>
              <w:rPr/>
              <w:t>Trade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2,856</w:t>
            </w:r>
          </w:p>
        </w:tc>
        <w:tc>
          <w:tcPr>
            <w:tcW w:w="111" w:type="dxa"/>
            <w:tcBorders/>
            <w:shd w:fill="CCEEFF" w:val="clear"/>
            <w:vAlign w:val="center"/>
          </w:tcPr>
          <w:p>
            <w:pPr>
              <w:pStyle w:val="TableContents"/>
              <w:bidi w:val="0"/>
              <w:spacing w:before="0" w:after="283"/>
              <w:jc w:val="left"/>
              <w:rPr/>
            </w:pPr>
            <w:r>
              <w:rPr/>
              <w:t> </w:t>
            </w:r>
          </w:p>
        </w:tc>
      </w:tr>
      <w:tr>
        <w:trPr/>
        <w:tc>
          <w:tcPr>
            <w:tcW w:w="7703"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2,734</w:t>
            </w:r>
          </w:p>
        </w:tc>
        <w:tc>
          <w:tcPr>
            <w:tcW w:w="111" w:type="dxa"/>
            <w:tcBorders/>
            <w:shd w:fill="FFFFFF" w:val="clear"/>
            <w:vAlign w:val="center"/>
          </w:tcPr>
          <w:p>
            <w:pPr>
              <w:pStyle w:val="TableContents"/>
              <w:bidi w:val="0"/>
              <w:spacing w:before="0" w:after="283"/>
              <w:jc w:val="left"/>
              <w:rPr/>
            </w:pPr>
            <w:r>
              <w:rPr/>
              <w:t> </w:t>
            </w:r>
          </w:p>
        </w:tc>
      </w:tr>
      <w:tr>
        <w:trPr/>
        <w:tc>
          <w:tcPr>
            <w:tcW w:w="7703" w:type="dxa"/>
            <w:tcBorders/>
            <w:shd w:fill="CCEEFF" w:val="clear"/>
            <w:vAlign w:val="center"/>
          </w:tcPr>
          <w:p>
            <w:pPr>
              <w:pStyle w:val="TableContents"/>
              <w:bidi w:val="0"/>
              <w:spacing w:before="0" w:after="283"/>
              <w:jc w:val="both"/>
              <w:rPr/>
            </w:pPr>
            <w:r>
              <w:rPr/>
              <w:t>Current maturities of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988</w:t>
            </w:r>
          </w:p>
        </w:tc>
        <w:tc>
          <w:tcPr>
            <w:tcW w:w="111" w:type="dxa"/>
            <w:tcBorders/>
            <w:shd w:fill="CCEEFF" w:val="clear"/>
            <w:vAlign w:val="center"/>
          </w:tcPr>
          <w:p>
            <w:pPr>
              <w:pStyle w:val="TableContents"/>
              <w:bidi w:val="0"/>
              <w:spacing w:before="0" w:after="283"/>
              <w:jc w:val="left"/>
              <w:rPr/>
            </w:pPr>
            <w:r>
              <w:rPr/>
              <w:t> </w:t>
            </w:r>
          </w:p>
        </w:tc>
      </w:tr>
      <w:tr>
        <w:trPr/>
        <w:tc>
          <w:tcPr>
            <w:tcW w:w="7703" w:type="dxa"/>
            <w:tcBorders/>
            <w:shd w:fill="FFFFFF" w:val="clear"/>
            <w:vAlign w:val="center"/>
          </w:tcPr>
          <w:p>
            <w:pPr>
              <w:pStyle w:val="TableContents"/>
              <w:bidi w:val="0"/>
              <w:spacing w:before="0" w:after="283"/>
              <w:jc w:val="both"/>
              <w:rPr/>
            </w:pPr>
            <w:r>
              <w:rPr/>
              <w:t>Current maturities of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1,161</w:t>
            </w:r>
          </w:p>
        </w:tc>
        <w:tc>
          <w:tcPr>
            <w:tcW w:w="111" w:type="dxa"/>
            <w:tcBorders/>
            <w:shd w:fill="FFFFFF" w:val="clear"/>
            <w:vAlign w:val="center"/>
          </w:tcPr>
          <w:p>
            <w:pPr>
              <w:pStyle w:val="TableContents"/>
              <w:bidi w:val="0"/>
              <w:spacing w:before="0" w:after="283"/>
              <w:jc w:val="left"/>
              <w:rPr/>
            </w:pPr>
            <w:r>
              <w:rPr/>
              <w:t> </w:t>
            </w:r>
          </w:p>
        </w:tc>
      </w:tr>
      <w:tr>
        <w:trPr/>
        <w:tc>
          <w:tcPr>
            <w:tcW w:w="7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03" w:type="dxa"/>
            <w:tcBorders/>
            <w:shd w:fill="FFFFFF" w:val="clear"/>
            <w:vAlign w:val="center"/>
          </w:tcPr>
          <w:p>
            <w:pPr>
              <w:pStyle w:val="TableContents"/>
              <w:bidi w:val="0"/>
              <w:spacing w:before="0" w:after="283"/>
              <w:jc w:val="both"/>
              <w:rPr/>
            </w:pPr>
            <w:r>
              <w:rPr>
                <w:u w:val="single"/>
              </w:rPr>
              <w:t>Total</w:t>
            </w:r>
            <w:r>
              <w:rPr/>
              <w:t xml:space="preserve">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7,739</w:t>
            </w:r>
          </w:p>
        </w:tc>
        <w:tc>
          <w:tcPr>
            <w:tcW w:w="111" w:type="dxa"/>
            <w:tcBorders/>
            <w:shd w:fill="FFFFFF" w:val="clear"/>
            <w:vAlign w:val="center"/>
          </w:tcPr>
          <w:p>
            <w:pPr>
              <w:pStyle w:val="TableContents"/>
              <w:bidi w:val="0"/>
              <w:spacing w:before="0" w:after="283"/>
              <w:jc w:val="left"/>
              <w:rPr/>
            </w:pPr>
            <w:r>
              <w:rPr/>
              <w:t> </w:t>
            </w:r>
          </w:p>
        </w:tc>
      </w:tr>
      <w:tr>
        <w:trPr/>
        <w:tc>
          <w:tcPr>
            <w:tcW w:w="7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03" w:type="dxa"/>
            <w:tcBorders/>
            <w:shd w:fill="FFFFFF" w:val="clear"/>
            <w:vAlign w:val="center"/>
          </w:tcPr>
          <w:p>
            <w:pPr>
              <w:pStyle w:val="TableContents"/>
              <w:bidi w:val="0"/>
              <w:spacing w:before="0" w:after="283"/>
              <w:jc w:val="both"/>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703" w:type="dxa"/>
            <w:tcBorders/>
            <w:shd w:fill="CCEEFF" w:val="clear"/>
            <w:vAlign w:val="center"/>
          </w:tcPr>
          <w:p>
            <w:pPr>
              <w:pStyle w:val="TableContents"/>
              <w:bidi w:val="0"/>
              <w:spacing w:before="0" w:after="283"/>
              <w:jc w:val="both"/>
              <w:rPr/>
            </w:pPr>
            <w:r>
              <w:rPr/>
              <w:t>Deferred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2,548</w:t>
            </w:r>
          </w:p>
        </w:tc>
        <w:tc>
          <w:tcPr>
            <w:tcW w:w="111" w:type="dxa"/>
            <w:tcBorders/>
            <w:shd w:fill="CCEEFF" w:val="clear"/>
            <w:vAlign w:val="center"/>
          </w:tcPr>
          <w:p>
            <w:pPr>
              <w:pStyle w:val="TableContents"/>
              <w:bidi w:val="0"/>
              <w:spacing w:before="0" w:after="283"/>
              <w:jc w:val="left"/>
              <w:rPr/>
            </w:pPr>
            <w:r>
              <w:rPr/>
              <w:t> </w:t>
            </w:r>
          </w:p>
        </w:tc>
      </w:tr>
      <w:tr>
        <w:trPr/>
        <w:tc>
          <w:tcPr>
            <w:tcW w:w="7703" w:type="dxa"/>
            <w:tcBorders/>
            <w:shd w:fill="FFFFFF" w:val="clear"/>
            <w:vAlign w:val="center"/>
          </w:tcPr>
          <w:p>
            <w:pPr>
              <w:pStyle w:val="TableContents"/>
              <w:bidi w:val="0"/>
              <w:spacing w:before="0" w:after="283"/>
              <w:jc w:val="both"/>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647</w:t>
            </w:r>
          </w:p>
        </w:tc>
        <w:tc>
          <w:tcPr>
            <w:tcW w:w="111" w:type="dxa"/>
            <w:tcBorders/>
            <w:shd w:fill="FFFFFF" w:val="clear"/>
            <w:vAlign w:val="center"/>
          </w:tcPr>
          <w:p>
            <w:pPr>
              <w:pStyle w:val="TableContents"/>
              <w:bidi w:val="0"/>
              <w:spacing w:before="0" w:after="283"/>
              <w:jc w:val="left"/>
              <w:rPr/>
            </w:pPr>
            <w:r>
              <w:rPr/>
              <w:t> </w:t>
            </w:r>
          </w:p>
        </w:tc>
      </w:tr>
      <w:tr>
        <w:trPr/>
        <w:tc>
          <w:tcPr>
            <w:tcW w:w="7703" w:type="dxa"/>
            <w:tcBorders/>
            <w:shd w:fill="CCEEFF" w:val="clear"/>
            <w:vAlign w:val="center"/>
          </w:tcPr>
          <w:p>
            <w:pPr>
              <w:pStyle w:val="TableContents"/>
              <w:bidi w:val="0"/>
              <w:spacing w:before="0" w:after="283"/>
              <w:jc w:val="both"/>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400</w:t>
            </w:r>
          </w:p>
        </w:tc>
        <w:tc>
          <w:tcPr>
            <w:tcW w:w="111" w:type="dxa"/>
            <w:tcBorders/>
            <w:shd w:fill="CCEEFF" w:val="clear"/>
            <w:vAlign w:val="center"/>
          </w:tcPr>
          <w:p>
            <w:pPr>
              <w:pStyle w:val="TableContents"/>
              <w:bidi w:val="0"/>
              <w:spacing w:before="0" w:after="283"/>
              <w:jc w:val="left"/>
              <w:rPr/>
            </w:pPr>
            <w:r>
              <w:rPr/>
              <w:t> </w:t>
            </w:r>
          </w:p>
        </w:tc>
      </w:tr>
      <w:tr>
        <w:trPr/>
        <w:tc>
          <w:tcPr>
            <w:tcW w:w="7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703" w:type="dxa"/>
            <w:tcBorders/>
            <w:shd w:fill="CCEEFF" w:val="clear"/>
            <w:vAlign w:val="center"/>
          </w:tcPr>
          <w:p>
            <w:pPr>
              <w:pStyle w:val="TableContents"/>
              <w:bidi w:val="0"/>
              <w:spacing w:before="0" w:after="283"/>
              <w:jc w:val="both"/>
              <w:rPr/>
            </w:pPr>
            <w:r>
              <w:rPr>
                <w:u w:val="single"/>
              </w:rPr>
              <w:t>Total</w:t>
            </w:r>
            <w:r>
              <w:rPr/>
              <w:t xml:space="preserve">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3,595</w:t>
            </w:r>
          </w:p>
        </w:tc>
        <w:tc>
          <w:tcPr>
            <w:tcW w:w="111" w:type="dxa"/>
            <w:tcBorders/>
            <w:shd w:fill="CCEEFF" w:val="clear"/>
            <w:vAlign w:val="center"/>
          </w:tcPr>
          <w:p>
            <w:pPr>
              <w:pStyle w:val="TableContents"/>
              <w:bidi w:val="0"/>
              <w:spacing w:before="0" w:after="283"/>
              <w:jc w:val="left"/>
              <w:rPr/>
            </w:pPr>
            <w:r>
              <w:rPr/>
              <w:t> </w:t>
            </w:r>
          </w:p>
        </w:tc>
      </w:tr>
      <w:tr>
        <w:trPr/>
        <w:tc>
          <w:tcPr>
            <w:tcW w:w="7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703" w:type="dxa"/>
            <w:tcBorders/>
            <w:shd w:fill="CCEEFF" w:val="clear"/>
            <w:vAlign w:val="center"/>
          </w:tcPr>
          <w:p>
            <w:pPr>
              <w:pStyle w:val="TableContents"/>
              <w:bidi w:val="0"/>
              <w:spacing w:before="0" w:after="283"/>
              <w:jc w:val="both"/>
              <w:rPr/>
            </w:pPr>
            <w:r>
              <w:rPr/>
              <w:t>COMMITMENTS AND CONTINGENT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703" w:type="dxa"/>
            <w:tcBorders/>
            <w:shd w:fill="CCEEFF" w:val="clear"/>
            <w:vAlign w:val="center"/>
          </w:tcPr>
          <w:p>
            <w:pPr>
              <w:pStyle w:val="TableContents"/>
              <w:bidi w:val="0"/>
              <w:spacing w:before="0" w:after="283"/>
              <w:jc w:val="both"/>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703" w:type="dxa"/>
            <w:tcBorders/>
            <w:shd w:fill="FFFFFF" w:val="clear"/>
            <w:vAlign w:val="center"/>
          </w:tcPr>
          <w:p>
            <w:pPr>
              <w:pStyle w:val="TableContents"/>
              <w:bidi w:val="0"/>
              <w:spacing w:before="0" w:after="283"/>
              <w:jc w:val="left"/>
              <w:rPr/>
            </w:pPr>
            <w:r>
              <w:rPr/>
              <w:t>Ordinary shares, no par value - Authorized: 107,800,000 shares at June 30, 2026 and December 31, 2025; Issued and outstanding: 20,311,766 and 18,204,002 shares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703" w:type="dxa"/>
            <w:tcBorders/>
            <w:shd w:fill="CCEEFF" w:val="clear"/>
            <w:vAlign w:val="center"/>
          </w:tcPr>
          <w:p>
            <w:pPr>
              <w:pStyle w:val="TableContents"/>
              <w:bidi w:val="0"/>
              <w:spacing w:before="0" w:after="283"/>
              <w:jc w:val="both"/>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322,465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312,473</w:t>
            </w:r>
          </w:p>
        </w:tc>
        <w:tc>
          <w:tcPr>
            <w:tcW w:w="111" w:type="dxa"/>
            <w:tcBorders/>
            <w:shd w:fill="CCEEFF" w:val="clear"/>
            <w:vAlign w:val="center"/>
          </w:tcPr>
          <w:p>
            <w:pPr>
              <w:pStyle w:val="TableContents"/>
              <w:bidi w:val="0"/>
              <w:spacing w:before="0" w:after="283"/>
              <w:jc w:val="left"/>
              <w:rPr/>
            </w:pPr>
            <w:r>
              <w:rPr/>
              <w:t> </w:t>
            </w:r>
          </w:p>
        </w:tc>
      </w:tr>
      <w:tr>
        <w:trPr/>
        <w:tc>
          <w:tcPr>
            <w:tcW w:w="7703" w:type="dxa"/>
            <w:tcBorders/>
            <w:shd w:fill="FFFFFF" w:val="clear"/>
            <w:vAlign w:val="center"/>
          </w:tcPr>
          <w:p>
            <w:pPr>
              <w:pStyle w:val="TableContents"/>
              <w:bidi w:val="0"/>
              <w:spacing w:before="0" w:after="283"/>
              <w:jc w:val="both"/>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(317,077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(301,500</w:t>
            </w:r>
          </w:p>
        </w:tc>
        <w:tc>
          <w:tcPr>
            <w:tcW w:w="111" w:type="dxa"/>
            <w:tcBorders/>
            <w:shd w:fill="FFFFFF" w:val="clear"/>
            <w:vAlign w:val="center"/>
          </w:tcPr>
          <w:p>
            <w:pPr>
              <w:pStyle w:val="TableContents"/>
              <w:bidi w:val="0"/>
              <w:spacing w:before="0" w:after="283"/>
              <w:jc w:val="left"/>
              <w:rPr/>
            </w:pPr>
            <w:r>
              <w:rPr/>
              <w:t>)</w:t>
            </w:r>
          </w:p>
        </w:tc>
      </w:tr>
      <w:tr>
        <w:trPr/>
        <w:tc>
          <w:tcPr>
            <w:tcW w:w="7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03" w:type="dxa"/>
            <w:tcBorders/>
            <w:shd w:fill="FFFFFF" w:val="clear"/>
            <w:vAlign w:val="center"/>
          </w:tcPr>
          <w:p>
            <w:pPr>
              <w:pStyle w:val="TableContents"/>
              <w:bidi w:val="0"/>
              <w:spacing w:before="0" w:after="283"/>
              <w:jc w:val="both"/>
              <w:rPr/>
            </w:pPr>
            <w:r>
              <w:rPr>
                <w:u w:val="single"/>
              </w:rPr>
              <w:t>Total</w:t>
            </w:r>
            <w:r>
              <w:rPr/>
              <w:t xml:space="preserve">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FFFFFF" w:val="clear"/>
            <w:tcMar>
              <w:bottom w:w="28" w:type="dxa"/>
            </w:tcMar>
            <w:vAlign w:val="center"/>
          </w:tcPr>
          <w:p>
            <w:pPr>
              <w:pStyle w:val="TableContents"/>
              <w:bidi w:val="0"/>
              <w:spacing w:before="0" w:after="283"/>
              <w:jc w:val="right"/>
              <w:rPr/>
            </w:pPr>
            <w:r>
              <w:rPr/>
              <w:t>10,973</w:t>
            </w:r>
          </w:p>
        </w:tc>
        <w:tc>
          <w:tcPr>
            <w:tcW w:w="111" w:type="dxa"/>
            <w:tcBorders/>
            <w:shd w:fill="FFFFFF" w:val="clear"/>
            <w:vAlign w:val="center"/>
          </w:tcPr>
          <w:p>
            <w:pPr>
              <w:pStyle w:val="TableContents"/>
              <w:bidi w:val="0"/>
              <w:spacing w:before="0" w:after="283"/>
              <w:jc w:val="left"/>
              <w:rPr/>
            </w:pPr>
            <w:r>
              <w:rPr/>
              <w:t> </w:t>
            </w:r>
          </w:p>
        </w:tc>
      </w:tr>
      <w:tr>
        <w:trPr/>
        <w:tc>
          <w:tcPr>
            <w:tcW w:w="7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03" w:type="dxa"/>
            <w:tcBorders/>
            <w:shd w:fill="FFFFFF" w:val="clear"/>
            <w:vAlign w:val="center"/>
          </w:tcPr>
          <w:p>
            <w:pPr>
              <w:pStyle w:val="TableContents"/>
              <w:bidi w:val="0"/>
              <w:spacing w:before="0" w:after="283"/>
              <w:jc w:val="both"/>
              <w:rPr/>
            </w:pPr>
            <w:r>
              <w:rPr>
                <w:u w:val="single"/>
              </w:rPr>
              <w:t>Total</w:t>
            </w:r>
            <w:r>
              <w:rPr/>
              <w:t xml:space="preserve">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15,234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10" w:space="0" w:color="000000"/>
            </w:tcBorders>
            <w:shd w:fill="FFFFFF" w:val="clear"/>
            <w:tcMar>
              <w:bottom w:w="28" w:type="dxa"/>
            </w:tcMar>
            <w:vAlign w:val="center"/>
          </w:tcPr>
          <w:p>
            <w:pPr>
              <w:pStyle w:val="TableContents"/>
              <w:bidi w:val="0"/>
              <w:spacing w:before="0" w:after="283"/>
              <w:jc w:val="right"/>
              <w:rPr/>
            </w:pPr>
            <w:r>
              <w:rPr/>
              <w:t>22,307</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POLYPID LTD. AND ITS SUBSIDIARIES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bookmarkStart w:id="5" w:name="f_002"/>
      <w:bookmarkEnd w:id="5"/>
      <w:r>
        <w:rPr>
          <w:rFonts w:ascii="Times New Roman;Times;Serif" w:hAnsi="Times New Roman;Times;Serif"/>
          <w:b/>
          <w:i w:val="false"/>
          <w:caps w:val="false"/>
          <w:smallCaps w:val="false"/>
          <w:sz w:val="20"/>
        </w:rPr>
        <w:t>INTERIM CONDENSED CONSOLIDATED STATEMENTS OF OPERATIONS (UNAUDITED)</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5"/>
        <w:gridCol w:w="60"/>
        <w:gridCol w:w="140"/>
        <w:gridCol w:w="1100"/>
        <w:gridCol w:w="95"/>
        <w:gridCol w:w="60"/>
        <w:gridCol w:w="140"/>
        <w:gridCol w:w="1100"/>
        <w:gridCol w:w="75"/>
      </w:tblGrid>
      <w:tr>
        <w:trPr/>
        <w:tc>
          <w:tcPr>
            <w:tcW w:w="7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left"/>
              <w:rPr>
                <w:i/>
              </w:rPr>
            </w:pPr>
            <w:r>
              <w:rPr>
                <w:i/>
              </w:rPr>
              <w:t>Operating expenses: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12,332</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Marketing and business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989</w:t>
            </w:r>
          </w:p>
        </w:tc>
        <w:tc>
          <w:tcPr>
            <w:tcW w:w="75"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3,661</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16,982</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512</w:t>
            </w:r>
          </w:p>
        </w:tc>
        <w:tc>
          <w:tcPr>
            <w:tcW w:w="75"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Financial expenses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687</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Loss before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18,181</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64</w:t>
            </w:r>
          </w:p>
        </w:tc>
        <w:tc>
          <w:tcPr>
            <w:tcW w:w="75"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15,577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18,245</w:t>
            </w:r>
          </w:p>
        </w:tc>
        <w:tc>
          <w:tcPr>
            <w:tcW w:w="75"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Basic and diluted loss per Ordinary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1.48</w:t>
            </w:r>
          </w:p>
        </w:tc>
        <w:tc>
          <w:tcPr>
            <w:tcW w:w="75"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435" w:type="dxa"/>
            <w:tcBorders/>
            <w:shd w:fill="FFFFFF" w:val="clear"/>
            <w:vAlign w:val="center"/>
          </w:tcPr>
          <w:p>
            <w:pPr>
              <w:pStyle w:val="TableContents"/>
              <w:bidi w:val="0"/>
              <w:spacing w:before="0" w:after="283"/>
              <w:jc w:val="left"/>
              <w:rPr/>
            </w:pPr>
            <w:r>
              <w:rPr/>
              <w:t>Weighted average number of Ordinary shares used in computing basic and diluted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22,280,991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12,298,113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POLYPID LTD. AND ITS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f_003"/>
      <w:bookmarkEnd w:id="6"/>
      <w:r>
        <w:rPr>
          <w:rFonts w:ascii="Times New Roman;Times;Serif" w:hAnsi="Times New Roman;Times;Serif"/>
          <w:b/>
          <w:i w:val="false"/>
          <w:caps w:val="false"/>
          <w:smallCaps w:val="false"/>
          <w:sz w:val="20"/>
        </w:rPr>
        <w:t>INTERIM CONDENSED CONSOLIDATED STATEMENTS OF SHAREHOLDERS’ EQUITY (UNAUDITED)</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763"/>
        <w:gridCol w:w="60"/>
        <w:gridCol w:w="60"/>
        <w:gridCol w:w="1100"/>
        <w:gridCol w:w="60"/>
        <w:gridCol w:w="60"/>
        <w:gridCol w:w="142"/>
        <w:gridCol w:w="814"/>
        <w:gridCol w:w="191"/>
        <w:gridCol w:w="60"/>
        <w:gridCol w:w="188"/>
        <w:gridCol w:w="1182"/>
        <w:gridCol w:w="95"/>
        <w:gridCol w:w="60"/>
        <w:gridCol w:w="185"/>
        <w:gridCol w:w="1001"/>
        <w:gridCol w:w="184"/>
      </w:tblGrid>
      <w:tr>
        <w:trPr/>
        <w:tc>
          <w:tcPr>
            <w:tcW w:w="4763" w:type="dxa"/>
            <w:tcBorders>
              <w:bottom w:val="single" w:sz="12" w:space="0" w:color="000000"/>
            </w:tcBorders>
            <w:vAlign w:val="center"/>
          </w:tcPr>
          <w:p>
            <w:pPr>
              <w:pStyle w:val="TableContents"/>
              <w:bidi w:val="0"/>
              <w:spacing w:before="0" w:after="283"/>
              <w:ind w:left="0" w:right="0" w:hanging="180"/>
              <w:jc w:val="left"/>
              <w:rPr>
                <w:b/>
              </w:rPr>
            </w:pPr>
            <w:r>
              <w:rPr>
                <w:b/>
              </w:rPr>
              <w:t>Six months ended June 30, 2026</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Number of</w:t>
              <w:br/>
              <w:t>ordinary</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6"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br/>
              <w:t>capital</w:t>
            </w:r>
          </w:p>
        </w:tc>
        <w:tc>
          <w:tcPr>
            <w:tcW w:w="19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Accumulated</w:t>
              <w:br/>
              <w:t>deficit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6"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 xml:space="preserve">shareholders’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w:t>
            </w:r>
          </w:p>
        </w:tc>
        <w:tc>
          <w:tcPr>
            <w:tcW w:w="184" w:type="dxa"/>
            <w:tcBorders/>
            <w:tcMar>
              <w:bottom w:w="0" w:type="dxa"/>
            </w:tcMar>
            <w:vAlign w:val="center"/>
          </w:tcPr>
          <w:p>
            <w:pPr>
              <w:pStyle w:val="TableContents"/>
              <w:bidi w:val="0"/>
              <w:spacing w:before="0" w:after="283"/>
              <w:ind w:left="0" w:right="0" w:hanging="180"/>
              <w:jc w:val="left"/>
              <w:rPr/>
            </w:pPr>
            <w:r>
              <w:rPr/>
              <w:t> </w:t>
            </w:r>
          </w:p>
        </w:tc>
      </w:tr>
      <w:tr>
        <w:trPr/>
        <w:tc>
          <w:tcPr>
            <w:tcW w:w="47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6" w:type="dxa"/>
            <w:gridSpan w:val="2"/>
            <w:tcBorders/>
            <w:tcMar>
              <w:bottom w:w="0" w:type="dxa"/>
            </w:tcMar>
            <w:vAlign w:val="center"/>
          </w:tcPr>
          <w:p>
            <w:pPr>
              <w:pStyle w:val="TableContents"/>
              <w:bidi w:val="0"/>
              <w:spacing w:before="0" w:after="283"/>
              <w:jc w:val="right"/>
              <w:rPr/>
            </w:pPr>
            <w:r>
              <w:rPr/>
              <w:t> </w:t>
            </w:r>
          </w:p>
        </w:tc>
        <w:tc>
          <w:tcPr>
            <w:tcW w:w="19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6" w:type="dxa"/>
            <w:gridSpan w:val="2"/>
            <w:tcBorders/>
            <w:tcMar>
              <w:bottom w:w="0" w:type="dxa"/>
            </w:tcMar>
            <w:vAlign w:val="center"/>
          </w:tcPr>
          <w:p>
            <w:pPr>
              <w:pStyle w:val="TableContents"/>
              <w:bidi w:val="0"/>
              <w:spacing w:before="0" w:after="283"/>
              <w:jc w:val="right"/>
              <w:rPr/>
            </w:pPr>
            <w:r>
              <w:rPr/>
              <w:t> </w:t>
            </w:r>
          </w:p>
        </w:tc>
        <w:tc>
          <w:tcPr>
            <w:tcW w:w="184" w:type="dxa"/>
            <w:tcBorders/>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CCEEFF" w:val="clear"/>
            <w:tcMar>
              <w:bottom w:w="0" w:type="dxa"/>
            </w:tcMar>
            <w:vAlign w:val="center"/>
          </w:tcPr>
          <w:p>
            <w:pPr>
              <w:pStyle w:val="TableContents"/>
              <w:bidi w:val="0"/>
              <w:spacing w:before="0" w:after="283"/>
              <w:jc w:val="left"/>
              <w:rPr/>
            </w:pPr>
            <w:r>
              <w:rPr/>
              <w:t>Balances as of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18,204,002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814" w:type="dxa"/>
            <w:tcBorders/>
            <w:shd w:fill="CCEEFF" w:val="clear"/>
            <w:tcMar>
              <w:bottom w:w="0" w:type="dxa"/>
            </w:tcMar>
            <w:vAlign w:val="center"/>
          </w:tcPr>
          <w:p>
            <w:pPr>
              <w:pStyle w:val="TableContents"/>
              <w:bidi w:val="0"/>
              <w:spacing w:before="0" w:after="283"/>
              <w:jc w:val="right"/>
              <w:rPr/>
            </w:pPr>
            <w:r>
              <w:rPr/>
              <w:t>312,473</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182" w:type="dxa"/>
            <w:tcBorders/>
            <w:shd w:fill="CCEEFF" w:val="clear"/>
            <w:tcMar>
              <w:bottom w:w="0" w:type="dxa"/>
            </w:tcMar>
            <w:vAlign w:val="center"/>
          </w:tcPr>
          <w:p>
            <w:pPr>
              <w:pStyle w:val="TableContents"/>
              <w:bidi w:val="0"/>
              <w:spacing w:before="0" w:after="283"/>
              <w:jc w:val="right"/>
              <w:rPr/>
            </w:pPr>
            <w:r>
              <w:rPr/>
              <w:t>(301,500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1001" w:type="dxa"/>
            <w:tcBorders/>
            <w:shd w:fill="CCEEFF" w:val="clear"/>
            <w:tcMar>
              <w:bottom w:w="0" w:type="dxa"/>
            </w:tcMar>
            <w:vAlign w:val="center"/>
          </w:tcPr>
          <w:p>
            <w:pPr>
              <w:pStyle w:val="TableContents"/>
              <w:bidi w:val="0"/>
              <w:spacing w:before="0" w:after="283"/>
              <w:jc w:val="right"/>
              <w:rPr/>
            </w:pPr>
            <w:r>
              <w:rPr/>
              <w:t>10,973</w:t>
            </w:r>
          </w:p>
        </w:tc>
        <w:tc>
          <w:tcPr>
            <w:tcW w:w="184"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right"/>
              <w:rPr/>
            </w:pPr>
            <w:r>
              <w:rPr/>
              <w:t> </w:t>
            </w:r>
          </w:p>
        </w:tc>
        <w:tc>
          <w:tcPr>
            <w:tcW w:w="184"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CCEEFF" w:val="clear"/>
            <w:tcMar>
              <w:bottom w:w="0" w:type="dxa"/>
            </w:tcMar>
            <w:vAlign w:val="center"/>
          </w:tcPr>
          <w:p>
            <w:pPr>
              <w:pStyle w:val="TableContents"/>
              <w:bidi w:val="0"/>
              <w:spacing w:before="0" w:after="283"/>
              <w:jc w:val="left"/>
              <w:rPr/>
            </w:pPr>
            <w:r>
              <w:rPr/>
              <w:t>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1,462</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18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pPr>
            <w:r>
              <w:rPr/>
              <w:t>1,462</w:t>
            </w:r>
          </w:p>
        </w:tc>
        <w:tc>
          <w:tcPr>
            <w:tcW w:w="184"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FFFFFF" w:val="clear"/>
            <w:tcMar>
              <w:bottom w:w="0" w:type="dxa"/>
            </w:tcMar>
            <w:vAlign w:val="center"/>
          </w:tcPr>
          <w:p>
            <w:pPr>
              <w:pStyle w:val="TableContents"/>
              <w:bidi w:val="0"/>
              <w:spacing w:before="0" w:after="283"/>
              <w:jc w:val="left"/>
              <w:rPr/>
            </w:pPr>
            <w:r>
              <w:rPr/>
              <w:t>Issuance of Ordinary shares, abeyance shares and warrants, net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1,814,655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8,521</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right"/>
              <w:rPr/>
            </w:pPr>
            <w:r>
              <w:rPr/>
              <w:t>8,521</w:t>
            </w:r>
          </w:p>
        </w:tc>
        <w:tc>
          <w:tcPr>
            <w:tcW w:w="184"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CCEEFF" w:val="clear"/>
            <w:tcMar>
              <w:bottom w:w="0" w:type="dxa"/>
            </w:tcMar>
            <w:vAlign w:val="center"/>
          </w:tcPr>
          <w:p>
            <w:pPr>
              <w:pStyle w:val="TableContents"/>
              <w:bidi w:val="0"/>
              <w:spacing w:before="0" w:after="283"/>
              <w:jc w:val="left"/>
              <w:rPr/>
            </w:pPr>
            <w:r>
              <w:rPr/>
              <w:t>Exercise of pre-funded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290,859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18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pPr>
            <w:r>
              <w:rPr/>
              <w:t>-</w:t>
            </w:r>
          </w:p>
        </w:tc>
        <w:tc>
          <w:tcPr>
            <w:tcW w:w="184"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763" w:type="dxa"/>
            <w:tcBorders/>
            <w:shd w:fill="FFFFFF" w:val="clear"/>
            <w:tcMar>
              <w:bottom w:w="0" w:type="dxa"/>
            </w:tcMar>
            <w:vAlign w:val="center"/>
          </w:tcPr>
          <w:p>
            <w:pPr>
              <w:pStyle w:val="TableContents"/>
              <w:bidi w:val="0"/>
              <w:spacing w:before="0" w:after="283"/>
              <w:jc w:val="left"/>
              <w:rPr/>
            </w:pPr>
            <w:r>
              <w:rPr/>
              <w:t>Exercise of options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9</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right"/>
              <w:rPr/>
            </w:pPr>
            <w:r>
              <w:rPr/>
              <w:t>9</w:t>
            </w:r>
          </w:p>
        </w:tc>
        <w:tc>
          <w:tcPr>
            <w:tcW w:w="184"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CCEEFF" w:val="clear"/>
            <w:tcMar>
              <w:bottom w:w="0" w:type="dxa"/>
            </w:tcMar>
            <w:vAlign w:val="center"/>
          </w:tcPr>
          <w:p>
            <w:pPr>
              <w:pStyle w:val="TableContents"/>
              <w:bidi w:val="0"/>
              <w:spacing w:before="0" w:after="283"/>
              <w:jc w:val="left"/>
              <w:rPr/>
            </w:pPr>
            <w:r>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814" w:type="dxa"/>
            <w:tcBorders>
              <w:bottom w:val="single" w:sz="12" w:space="0" w:color="000000"/>
            </w:tcBorders>
            <w:shd w:fill="CCEEFF" w:val="clear"/>
            <w:vAlign w:val="center"/>
          </w:tcPr>
          <w:p>
            <w:pPr>
              <w:pStyle w:val="TableContents"/>
              <w:bidi w:val="0"/>
              <w:spacing w:before="0" w:after="283"/>
              <w:jc w:val="right"/>
              <w:rPr/>
            </w:pPr>
            <w:r>
              <w:rPr/>
              <w:t>-</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12" w:space="0" w:color="000000"/>
            </w:tcBorders>
            <w:shd w:fill="CCEEFF" w:val="clear"/>
            <w:vAlign w:val="center"/>
          </w:tcPr>
          <w:p>
            <w:pPr>
              <w:pStyle w:val="TableContents"/>
              <w:bidi w:val="0"/>
              <w:spacing w:before="0" w:after="283"/>
              <w:jc w:val="left"/>
              <w:rPr/>
            </w:pPr>
            <w:r>
              <w:rPr/>
              <w:t> </w:t>
            </w:r>
          </w:p>
        </w:tc>
        <w:tc>
          <w:tcPr>
            <w:tcW w:w="1182" w:type="dxa"/>
            <w:tcBorders>
              <w:bottom w:val="single" w:sz="12" w:space="0" w:color="000000"/>
            </w:tcBorders>
            <w:shd w:fill="CCEEFF" w:val="clear"/>
            <w:vAlign w:val="center"/>
          </w:tcPr>
          <w:p>
            <w:pPr>
              <w:pStyle w:val="TableContents"/>
              <w:bidi w:val="0"/>
              <w:spacing w:before="0" w:after="283"/>
              <w:jc w:val="right"/>
              <w:rPr/>
            </w:pPr>
            <w:r>
              <w:rPr/>
              <w:t>(15,577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vAlign w:val="center"/>
          </w:tcPr>
          <w:p>
            <w:pPr>
              <w:pStyle w:val="TableContents"/>
              <w:bidi w:val="0"/>
              <w:spacing w:before="0" w:after="283"/>
              <w:jc w:val="left"/>
              <w:rPr/>
            </w:pPr>
            <w:r>
              <w:rPr/>
              <w:t> </w:t>
            </w:r>
          </w:p>
        </w:tc>
        <w:tc>
          <w:tcPr>
            <w:tcW w:w="1001" w:type="dxa"/>
            <w:tcBorders>
              <w:bottom w:val="single" w:sz="12" w:space="0" w:color="000000"/>
            </w:tcBorders>
            <w:shd w:fill="CCEEFF" w:val="clear"/>
            <w:vAlign w:val="center"/>
          </w:tcPr>
          <w:p>
            <w:pPr>
              <w:pStyle w:val="TableContents"/>
              <w:bidi w:val="0"/>
              <w:spacing w:before="0" w:after="283"/>
              <w:jc w:val="right"/>
              <w:rPr/>
            </w:pPr>
            <w:r>
              <w:rPr/>
              <w:t>(15,577</w:t>
            </w:r>
          </w:p>
        </w:tc>
        <w:tc>
          <w:tcPr>
            <w:tcW w:w="184"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7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right"/>
              <w:rPr/>
            </w:pPr>
            <w:r>
              <w:rPr/>
              <w:t> </w:t>
            </w:r>
          </w:p>
        </w:tc>
        <w:tc>
          <w:tcPr>
            <w:tcW w:w="184"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CCEEFF" w:val="clear"/>
            <w:tcMar>
              <w:bottom w:w="0" w:type="dxa"/>
            </w:tcMar>
            <w:vAlign w:val="center"/>
          </w:tcPr>
          <w:p>
            <w:pPr>
              <w:pStyle w:val="TableContents"/>
              <w:bidi w:val="0"/>
              <w:spacing w:before="0" w:after="283"/>
              <w:jc w:val="left"/>
              <w:rPr/>
            </w:pPr>
            <w:r>
              <w:rPr/>
              <w:t>Balances as of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1100" w:type="dxa"/>
            <w:tcBorders>
              <w:bottom w:val="double" w:sz="10" w:space="0" w:color="000000"/>
            </w:tcBorders>
            <w:shd w:fill="CCEEFF" w:val="clear"/>
            <w:vAlign w:val="center"/>
          </w:tcPr>
          <w:p>
            <w:pPr>
              <w:pStyle w:val="TableContents"/>
              <w:bidi w:val="0"/>
              <w:spacing w:before="0" w:after="283"/>
              <w:jc w:val="right"/>
              <w:rPr/>
            </w:pPr>
            <w:r>
              <w:rPr/>
              <w:t>20,311,766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CCEEFF" w:val="clear"/>
            <w:vAlign w:val="center"/>
          </w:tcPr>
          <w:p>
            <w:pPr>
              <w:pStyle w:val="TableContents"/>
              <w:bidi w:val="0"/>
              <w:spacing w:before="0" w:after="283"/>
              <w:jc w:val="left"/>
              <w:rPr/>
            </w:pPr>
            <w:r>
              <w:rPr/>
              <w:t> </w:t>
            </w:r>
          </w:p>
        </w:tc>
        <w:tc>
          <w:tcPr>
            <w:tcW w:w="814" w:type="dxa"/>
            <w:tcBorders>
              <w:bottom w:val="double" w:sz="10" w:space="0" w:color="000000"/>
            </w:tcBorders>
            <w:shd w:fill="CCEEFF" w:val="clear"/>
            <w:vAlign w:val="center"/>
          </w:tcPr>
          <w:p>
            <w:pPr>
              <w:pStyle w:val="TableContents"/>
              <w:bidi w:val="0"/>
              <w:spacing w:before="0" w:after="283"/>
              <w:jc w:val="right"/>
              <w:rPr/>
            </w:pPr>
            <w:r>
              <w:rPr/>
              <w:t>322,465</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double" w:sz="10" w:space="0" w:color="000000"/>
            </w:tcBorders>
            <w:shd w:fill="CCEEFF" w:val="clear"/>
            <w:vAlign w:val="center"/>
          </w:tcPr>
          <w:p>
            <w:pPr>
              <w:pStyle w:val="TableContents"/>
              <w:bidi w:val="0"/>
              <w:spacing w:before="0" w:after="283"/>
              <w:jc w:val="left"/>
              <w:rPr/>
            </w:pPr>
            <w:r>
              <w:rPr/>
              <w:t> </w:t>
            </w:r>
          </w:p>
        </w:tc>
        <w:tc>
          <w:tcPr>
            <w:tcW w:w="1182" w:type="dxa"/>
            <w:tcBorders>
              <w:bottom w:val="double" w:sz="10" w:space="0" w:color="000000"/>
            </w:tcBorders>
            <w:shd w:fill="CCEEFF" w:val="clear"/>
            <w:vAlign w:val="center"/>
          </w:tcPr>
          <w:p>
            <w:pPr>
              <w:pStyle w:val="TableContents"/>
              <w:bidi w:val="0"/>
              <w:spacing w:before="0" w:after="283"/>
              <w:jc w:val="right"/>
              <w:rPr/>
            </w:pPr>
            <w:r>
              <w:rPr/>
              <w:t>(317,077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bottom w:val="double" w:sz="10" w:space="0" w:color="000000"/>
            </w:tcBorders>
            <w:shd w:fill="CCEEFF" w:val="clear"/>
            <w:vAlign w:val="center"/>
          </w:tcPr>
          <w:p>
            <w:pPr>
              <w:pStyle w:val="TableContents"/>
              <w:bidi w:val="0"/>
              <w:spacing w:before="0" w:after="283"/>
              <w:jc w:val="left"/>
              <w:rPr/>
            </w:pPr>
            <w:r>
              <w:rPr/>
              <w:t> </w:t>
            </w:r>
          </w:p>
        </w:tc>
        <w:tc>
          <w:tcPr>
            <w:tcW w:w="1001" w:type="dxa"/>
            <w:tcBorders>
              <w:bottom w:val="double" w:sz="10" w:space="0" w:color="000000"/>
            </w:tcBorders>
            <w:shd w:fill="CCEEFF" w:val="clear"/>
            <w:vAlign w:val="center"/>
          </w:tcPr>
          <w:p>
            <w:pPr>
              <w:pStyle w:val="TableContents"/>
              <w:bidi w:val="0"/>
              <w:spacing w:before="0" w:after="283"/>
              <w:jc w:val="right"/>
              <w:rPr/>
            </w:pPr>
            <w:r>
              <w:rPr/>
              <w:t>5,388</w:t>
            </w:r>
          </w:p>
        </w:tc>
        <w:tc>
          <w:tcPr>
            <w:tcW w:w="18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305"/>
        <w:gridCol w:w="2780"/>
      </w:tblGrid>
      <w:tr>
        <w:trPr/>
        <w:tc>
          <w:tcPr>
            <w:tcW w:w="305" w:type="dxa"/>
            <w:tcBorders/>
            <w:vAlign w:val="center"/>
          </w:tcPr>
          <w:p>
            <w:pPr>
              <w:pStyle w:val="TableContents"/>
              <w:bidi w:val="0"/>
              <w:spacing w:before="0" w:after="283"/>
              <w:jc w:val="left"/>
              <w:rPr/>
            </w:pPr>
            <w:r>
              <w:rPr/>
              <w:t>(1)</w:t>
            </w:r>
          </w:p>
        </w:tc>
        <w:tc>
          <w:tcPr>
            <w:tcW w:w="2780" w:type="dxa"/>
            <w:tcBorders/>
            <w:vAlign w:val="center"/>
          </w:tcPr>
          <w:p>
            <w:pPr>
              <w:pStyle w:val="TableContents"/>
              <w:bidi w:val="0"/>
              <w:spacing w:before="0" w:after="283"/>
              <w:jc w:val="both"/>
              <w:rPr/>
            </w:pPr>
            <w:r>
              <w:rPr/>
              <w:t>Net of issuance cost of $115.</w:t>
            </w:r>
          </w:p>
        </w:tc>
      </w:tr>
      <w:tr>
        <w:trPr/>
        <w:tc>
          <w:tcPr>
            <w:tcW w:w="30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both"/>
              <w:rPr/>
            </w:pPr>
            <w:r>
              <w:rPr/>
              <w:t> </w:t>
            </w:r>
          </w:p>
        </w:tc>
      </w:tr>
    </w:tbl>
    <w:tbl>
      <w:tblPr>
        <w:tblW w:w="2275" w:type="dxa"/>
        <w:jc w:val="left"/>
        <w:tblInd w:w="0" w:type="dxa"/>
        <w:tblLayout w:type="fixed"/>
        <w:tblCellMar>
          <w:top w:w="0" w:type="dxa"/>
          <w:left w:w="0" w:type="dxa"/>
          <w:bottom w:w="0" w:type="dxa"/>
          <w:right w:w="0" w:type="dxa"/>
        </w:tblCellMar>
      </w:tblPr>
      <w:tblGrid>
        <w:gridCol w:w="230"/>
        <w:gridCol w:w="2045"/>
      </w:tblGrid>
      <w:tr>
        <w:trPr/>
        <w:tc>
          <w:tcPr>
            <w:tcW w:w="23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both"/>
              <w:rPr/>
            </w:pPr>
            <w:r>
              <w:rPr/>
              <w:t>Amount less than $1.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763"/>
        <w:gridCol w:w="60"/>
        <w:gridCol w:w="60"/>
        <w:gridCol w:w="1100"/>
        <w:gridCol w:w="60"/>
        <w:gridCol w:w="60"/>
        <w:gridCol w:w="142"/>
        <w:gridCol w:w="814"/>
        <w:gridCol w:w="191"/>
        <w:gridCol w:w="60"/>
        <w:gridCol w:w="188"/>
        <w:gridCol w:w="1182"/>
        <w:gridCol w:w="95"/>
        <w:gridCol w:w="60"/>
        <w:gridCol w:w="185"/>
        <w:gridCol w:w="1001"/>
        <w:gridCol w:w="184"/>
      </w:tblGrid>
      <w:tr>
        <w:trPr/>
        <w:tc>
          <w:tcPr>
            <w:tcW w:w="4763" w:type="dxa"/>
            <w:tcBorders>
              <w:bottom w:val="single" w:sz="12" w:space="0" w:color="000000"/>
            </w:tcBorders>
            <w:vAlign w:val="center"/>
          </w:tcPr>
          <w:p>
            <w:pPr>
              <w:pStyle w:val="TableContents"/>
              <w:bidi w:val="0"/>
              <w:spacing w:before="0" w:after="283"/>
              <w:ind w:left="0" w:right="0" w:hanging="180"/>
              <w:jc w:val="left"/>
              <w:rPr>
                <w:b/>
              </w:rPr>
            </w:pPr>
            <w:r>
              <w:rPr>
                <w:b/>
              </w:rPr>
              <w:t>Six months ended June 30, 2025</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Number of</w:t>
              <w:br/>
              <w:t>ordinary</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6"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br/>
              <w:t>capital</w:t>
            </w:r>
          </w:p>
        </w:tc>
        <w:tc>
          <w:tcPr>
            <w:tcW w:w="19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Accumulated</w:t>
              <w:br/>
              <w:t>deficit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6"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 xml:space="preserve">shareholders’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w:t>
            </w:r>
          </w:p>
        </w:tc>
        <w:tc>
          <w:tcPr>
            <w:tcW w:w="184" w:type="dxa"/>
            <w:tcBorders/>
            <w:tcMar>
              <w:bottom w:w="0" w:type="dxa"/>
            </w:tcMar>
            <w:vAlign w:val="center"/>
          </w:tcPr>
          <w:p>
            <w:pPr>
              <w:pStyle w:val="TableContents"/>
              <w:bidi w:val="0"/>
              <w:spacing w:before="0" w:after="283"/>
              <w:ind w:left="0" w:right="0" w:hanging="180"/>
              <w:jc w:val="left"/>
              <w:rPr/>
            </w:pPr>
            <w:r>
              <w:rPr/>
              <w:t> </w:t>
            </w:r>
          </w:p>
        </w:tc>
      </w:tr>
      <w:tr>
        <w:trPr/>
        <w:tc>
          <w:tcPr>
            <w:tcW w:w="47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6" w:type="dxa"/>
            <w:gridSpan w:val="2"/>
            <w:tcBorders/>
            <w:tcMar>
              <w:bottom w:w="0" w:type="dxa"/>
            </w:tcMar>
            <w:vAlign w:val="center"/>
          </w:tcPr>
          <w:p>
            <w:pPr>
              <w:pStyle w:val="TableContents"/>
              <w:bidi w:val="0"/>
              <w:spacing w:before="0" w:after="283"/>
              <w:jc w:val="right"/>
              <w:rPr/>
            </w:pPr>
            <w:r>
              <w:rPr/>
              <w:t> </w:t>
            </w:r>
          </w:p>
        </w:tc>
        <w:tc>
          <w:tcPr>
            <w:tcW w:w="19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6" w:type="dxa"/>
            <w:gridSpan w:val="2"/>
            <w:tcBorders/>
            <w:tcMar>
              <w:bottom w:w="0" w:type="dxa"/>
            </w:tcMar>
            <w:vAlign w:val="center"/>
          </w:tcPr>
          <w:p>
            <w:pPr>
              <w:pStyle w:val="TableContents"/>
              <w:bidi w:val="0"/>
              <w:spacing w:before="0" w:after="283"/>
              <w:jc w:val="right"/>
              <w:rPr/>
            </w:pPr>
            <w:r>
              <w:rPr/>
              <w:t> </w:t>
            </w:r>
          </w:p>
        </w:tc>
        <w:tc>
          <w:tcPr>
            <w:tcW w:w="184" w:type="dxa"/>
            <w:tcBorders/>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CCEEFF" w:val="clear"/>
            <w:tcMar>
              <w:bottom w:w="0" w:type="dxa"/>
            </w:tcMar>
            <w:vAlign w:val="center"/>
          </w:tcPr>
          <w:p>
            <w:pPr>
              <w:pStyle w:val="TableContents"/>
              <w:bidi w:val="0"/>
              <w:spacing w:before="0" w:after="283"/>
              <w:jc w:val="left"/>
              <w:rPr/>
            </w:pPr>
            <w:r>
              <w:rPr/>
              <w:t>Balances as of 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10,190,904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814" w:type="dxa"/>
            <w:tcBorders/>
            <w:shd w:fill="CCEEFF" w:val="clear"/>
            <w:tcMar>
              <w:bottom w:w="0" w:type="dxa"/>
            </w:tcMar>
            <w:vAlign w:val="center"/>
          </w:tcPr>
          <w:p>
            <w:pPr>
              <w:pStyle w:val="TableContents"/>
              <w:bidi w:val="0"/>
              <w:spacing w:before="0" w:after="283"/>
              <w:jc w:val="right"/>
              <w:rPr/>
            </w:pPr>
            <w:r>
              <w:rPr/>
              <w:t>275,015</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182" w:type="dxa"/>
            <w:tcBorders/>
            <w:shd w:fill="CCEEFF" w:val="clear"/>
            <w:tcMar>
              <w:bottom w:w="0" w:type="dxa"/>
            </w:tcMar>
            <w:vAlign w:val="center"/>
          </w:tcPr>
          <w:p>
            <w:pPr>
              <w:pStyle w:val="TableContents"/>
              <w:bidi w:val="0"/>
              <w:spacing w:before="0" w:after="283"/>
              <w:jc w:val="right"/>
              <w:rPr/>
            </w:pPr>
            <w:r>
              <w:rPr/>
              <w:t>(267,331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1001" w:type="dxa"/>
            <w:tcBorders/>
            <w:shd w:fill="CCEEFF" w:val="clear"/>
            <w:tcMar>
              <w:bottom w:w="0" w:type="dxa"/>
            </w:tcMar>
            <w:vAlign w:val="center"/>
          </w:tcPr>
          <w:p>
            <w:pPr>
              <w:pStyle w:val="TableContents"/>
              <w:bidi w:val="0"/>
              <w:spacing w:before="0" w:after="283"/>
              <w:jc w:val="right"/>
              <w:rPr/>
            </w:pPr>
            <w:r>
              <w:rPr/>
              <w:t>7,684</w:t>
            </w:r>
          </w:p>
        </w:tc>
        <w:tc>
          <w:tcPr>
            <w:tcW w:w="184"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right"/>
              <w:rPr/>
            </w:pPr>
            <w:r>
              <w:rPr/>
              <w:t> </w:t>
            </w:r>
          </w:p>
        </w:tc>
        <w:tc>
          <w:tcPr>
            <w:tcW w:w="184"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CCEEFF" w:val="clear"/>
            <w:tcMar>
              <w:bottom w:w="0" w:type="dxa"/>
            </w:tcMar>
            <w:vAlign w:val="center"/>
          </w:tcPr>
          <w:p>
            <w:pPr>
              <w:pStyle w:val="TableContents"/>
              <w:bidi w:val="0"/>
              <w:spacing w:before="0" w:after="283"/>
              <w:jc w:val="left"/>
              <w:rPr/>
            </w:pPr>
            <w:r>
              <w:rPr/>
              <w:t>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2,875</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18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pPr>
            <w:r>
              <w:rPr/>
              <w:t>2,875</w:t>
            </w:r>
          </w:p>
        </w:tc>
        <w:tc>
          <w:tcPr>
            <w:tcW w:w="184"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FFFFFF" w:val="clear"/>
            <w:tcMar>
              <w:bottom w:w="0" w:type="dxa"/>
            </w:tcMar>
            <w:vAlign w:val="center"/>
          </w:tcPr>
          <w:p>
            <w:pPr>
              <w:pStyle w:val="TableContents"/>
              <w:bidi w:val="0"/>
              <w:spacing w:before="0" w:after="283"/>
              <w:jc w:val="left"/>
              <w:rPr/>
            </w:pPr>
            <w:r>
              <w:rPr/>
              <w:t>Issuance of Ordinary shares, abeyance shares and warrants, net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4,492,875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28,162</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right"/>
              <w:rPr/>
            </w:pPr>
            <w:r>
              <w:rPr/>
              <w:t>28,162</w:t>
            </w:r>
          </w:p>
        </w:tc>
        <w:tc>
          <w:tcPr>
            <w:tcW w:w="184"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CCEEFF" w:val="clear"/>
            <w:tcMar>
              <w:bottom w:w="0" w:type="dxa"/>
            </w:tcMar>
            <w:vAlign w:val="center"/>
          </w:tcPr>
          <w:p>
            <w:pPr>
              <w:pStyle w:val="TableContents"/>
              <w:bidi w:val="0"/>
              <w:spacing w:before="0" w:after="283"/>
              <w:jc w:val="left"/>
              <w:rPr/>
            </w:pPr>
            <w:r>
              <w:rPr/>
              <w:t>Exercise of pre-funded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970,350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18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pPr>
            <w:r>
              <w:rPr/>
              <w:t>-</w:t>
            </w:r>
          </w:p>
        </w:tc>
        <w:tc>
          <w:tcPr>
            <w:tcW w:w="184"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763"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c>
          <w:tcPr>
            <w:tcW w:w="814" w:type="dxa"/>
            <w:tcBorders>
              <w:bottom w:val="single" w:sz="12" w:space="0" w:color="000000"/>
            </w:tcBorders>
            <w:shd w:fill="FFFFFF" w:val="clear"/>
            <w:vAlign w:val="center"/>
          </w:tcPr>
          <w:p>
            <w:pPr>
              <w:pStyle w:val="TableContents"/>
              <w:bidi w:val="0"/>
              <w:spacing w:before="0" w:after="283"/>
              <w:jc w:val="right"/>
              <w:rPr/>
            </w:pPr>
            <w:r>
              <w:rPr/>
              <w:t>-</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12" w:space="0" w:color="000000"/>
            </w:tcBorders>
            <w:shd w:fill="FFFFFF" w:val="clear"/>
            <w:vAlign w:val="center"/>
          </w:tcPr>
          <w:p>
            <w:pPr>
              <w:pStyle w:val="TableContents"/>
              <w:bidi w:val="0"/>
              <w:spacing w:before="0" w:after="283"/>
              <w:jc w:val="left"/>
              <w:rPr/>
            </w:pPr>
            <w:r>
              <w:rPr/>
              <w:t> </w:t>
            </w:r>
          </w:p>
        </w:tc>
        <w:tc>
          <w:tcPr>
            <w:tcW w:w="1182" w:type="dxa"/>
            <w:tcBorders>
              <w:bottom w:val="single" w:sz="12" w:space="0" w:color="000000"/>
            </w:tcBorders>
            <w:shd w:fill="FFFFFF" w:val="clear"/>
            <w:vAlign w:val="center"/>
          </w:tcPr>
          <w:p>
            <w:pPr>
              <w:pStyle w:val="TableContents"/>
              <w:bidi w:val="0"/>
              <w:spacing w:before="0" w:after="283"/>
              <w:jc w:val="right"/>
              <w:rPr/>
            </w:pPr>
            <w:r>
              <w:rPr/>
              <w:t>(18,245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bottom w:val="single" w:sz="12" w:space="0" w:color="000000"/>
            </w:tcBorders>
            <w:shd w:fill="FFFFFF" w:val="clear"/>
            <w:vAlign w:val="center"/>
          </w:tcPr>
          <w:p>
            <w:pPr>
              <w:pStyle w:val="TableContents"/>
              <w:bidi w:val="0"/>
              <w:spacing w:before="0" w:after="283"/>
              <w:jc w:val="left"/>
              <w:rPr/>
            </w:pPr>
            <w:r>
              <w:rPr/>
              <w:t> </w:t>
            </w:r>
          </w:p>
        </w:tc>
        <w:tc>
          <w:tcPr>
            <w:tcW w:w="1001" w:type="dxa"/>
            <w:tcBorders>
              <w:bottom w:val="single" w:sz="12" w:space="0" w:color="000000"/>
            </w:tcBorders>
            <w:shd w:fill="FFFFFF" w:val="clear"/>
            <w:vAlign w:val="center"/>
          </w:tcPr>
          <w:p>
            <w:pPr>
              <w:pStyle w:val="TableContents"/>
              <w:bidi w:val="0"/>
              <w:spacing w:before="0" w:after="283"/>
              <w:jc w:val="right"/>
              <w:rPr/>
            </w:pPr>
            <w:r>
              <w:rPr/>
              <w:t>(18,245</w:t>
            </w:r>
          </w:p>
        </w:tc>
        <w:tc>
          <w:tcPr>
            <w:tcW w:w="184"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76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18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pPr>
            <w:r>
              <w:rPr/>
              <w:t> </w:t>
            </w:r>
          </w:p>
        </w:tc>
        <w:tc>
          <w:tcPr>
            <w:tcW w:w="184"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763" w:type="dxa"/>
            <w:tcBorders/>
            <w:shd w:fill="FFFFFF" w:val="clear"/>
            <w:tcMar>
              <w:bottom w:w="0" w:type="dxa"/>
            </w:tcMar>
            <w:vAlign w:val="center"/>
          </w:tcPr>
          <w:p>
            <w:pPr>
              <w:pStyle w:val="TableContents"/>
              <w:bidi w:val="0"/>
              <w:spacing w:before="0" w:after="283"/>
              <w:jc w:val="left"/>
              <w:rPr/>
            </w:pPr>
            <w:r>
              <w:rPr/>
              <w:t>Balances as of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1100" w:type="dxa"/>
            <w:tcBorders>
              <w:bottom w:val="double" w:sz="10" w:space="0" w:color="000000"/>
            </w:tcBorders>
            <w:shd w:fill="FFFFFF" w:val="clear"/>
            <w:vAlign w:val="center"/>
          </w:tcPr>
          <w:p>
            <w:pPr>
              <w:pStyle w:val="TableContents"/>
              <w:bidi w:val="0"/>
              <w:spacing w:before="0" w:after="283"/>
              <w:jc w:val="right"/>
              <w:rPr/>
            </w:pPr>
            <w:r>
              <w:rPr/>
              <w:t>15,654,129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FFFFFF" w:val="clear"/>
            <w:vAlign w:val="center"/>
          </w:tcPr>
          <w:p>
            <w:pPr>
              <w:pStyle w:val="TableContents"/>
              <w:bidi w:val="0"/>
              <w:spacing w:before="0" w:after="283"/>
              <w:jc w:val="left"/>
              <w:rPr/>
            </w:pPr>
            <w:r>
              <w:rPr/>
              <w:t>$</w:t>
            </w:r>
          </w:p>
        </w:tc>
        <w:tc>
          <w:tcPr>
            <w:tcW w:w="814" w:type="dxa"/>
            <w:tcBorders>
              <w:bottom w:val="double" w:sz="10" w:space="0" w:color="000000"/>
            </w:tcBorders>
            <w:shd w:fill="FFFFFF" w:val="clear"/>
            <w:vAlign w:val="center"/>
          </w:tcPr>
          <w:p>
            <w:pPr>
              <w:pStyle w:val="TableContents"/>
              <w:bidi w:val="0"/>
              <w:spacing w:before="0" w:after="283"/>
              <w:jc w:val="right"/>
              <w:rPr/>
            </w:pPr>
            <w:r>
              <w:rPr/>
              <w:t>306,052</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double" w:sz="10" w:space="0" w:color="000000"/>
            </w:tcBorders>
            <w:shd w:fill="FFFFFF" w:val="clear"/>
            <w:vAlign w:val="center"/>
          </w:tcPr>
          <w:p>
            <w:pPr>
              <w:pStyle w:val="TableContents"/>
              <w:bidi w:val="0"/>
              <w:spacing w:before="0" w:after="283"/>
              <w:jc w:val="left"/>
              <w:rPr/>
            </w:pPr>
            <w:r>
              <w:rPr/>
              <w:t>$</w:t>
            </w:r>
          </w:p>
        </w:tc>
        <w:tc>
          <w:tcPr>
            <w:tcW w:w="1182" w:type="dxa"/>
            <w:tcBorders>
              <w:bottom w:val="double" w:sz="10" w:space="0" w:color="000000"/>
            </w:tcBorders>
            <w:shd w:fill="FFFFFF" w:val="clear"/>
            <w:vAlign w:val="center"/>
          </w:tcPr>
          <w:p>
            <w:pPr>
              <w:pStyle w:val="TableContents"/>
              <w:bidi w:val="0"/>
              <w:spacing w:before="0" w:after="283"/>
              <w:jc w:val="right"/>
              <w:rPr/>
            </w:pPr>
            <w:r>
              <w:rPr/>
              <w:t>(285,576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bottom w:val="double" w:sz="10" w:space="0" w:color="000000"/>
            </w:tcBorders>
            <w:shd w:fill="FFFFFF" w:val="clear"/>
            <w:vAlign w:val="center"/>
          </w:tcPr>
          <w:p>
            <w:pPr>
              <w:pStyle w:val="TableContents"/>
              <w:bidi w:val="0"/>
              <w:spacing w:before="0" w:after="283"/>
              <w:jc w:val="left"/>
              <w:rPr/>
            </w:pPr>
            <w:r>
              <w:rPr/>
              <w:t>$</w:t>
            </w:r>
          </w:p>
        </w:tc>
        <w:tc>
          <w:tcPr>
            <w:tcW w:w="1001" w:type="dxa"/>
            <w:tcBorders>
              <w:bottom w:val="double" w:sz="10" w:space="0" w:color="000000"/>
            </w:tcBorders>
            <w:shd w:fill="FFFFFF" w:val="clear"/>
            <w:vAlign w:val="center"/>
          </w:tcPr>
          <w:p>
            <w:pPr>
              <w:pStyle w:val="TableContents"/>
              <w:bidi w:val="0"/>
              <w:spacing w:before="0" w:after="283"/>
              <w:jc w:val="right"/>
              <w:rPr/>
            </w:pPr>
            <w:r>
              <w:rPr/>
              <w:t>20,476</w:t>
            </w:r>
          </w:p>
        </w:tc>
        <w:tc>
          <w:tcPr>
            <w:tcW w:w="18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305"/>
        <w:gridCol w:w="2660"/>
      </w:tblGrid>
      <w:tr>
        <w:trPr/>
        <w:tc>
          <w:tcPr>
            <w:tcW w:w="305" w:type="dxa"/>
            <w:tcBorders/>
            <w:vAlign w:val="center"/>
          </w:tcPr>
          <w:p>
            <w:pPr>
              <w:pStyle w:val="TableContents"/>
              <w:bidi w:val="0"/>
              <w:spacing w:before="0" w:after="283"/>
              <w:jc w:val="left"/>
              <w:rPr/>
            </w:pPr>
            <w:r>
              <w:rPr/>
              <w:t>(2)</w:t>
            </w:r>
          </w:p>
        </w:tc>
        <w:tc>
          <w:tcPr>
            <w:tcW w:w="2660" w:type="dxa"/>
            <w:tcBorders/>
            <w:vAlign w:val="center"/>
          </w:tcPr>
          <w:p>
            <w:pPr>
              <w:pStyle w:val="TableContents"/>
              <w:bidi w:val="0"/>
              <w:spacing w:before="0" w:after="283"/>
              <w:jc w:val="both"/>
              <w:rPr/>
            </w:pPr>
            <w:r>
              <w:rPr/>
              <w:t>Net of issuance cost of $72.</w:t>
            </w:r>
          </w:p>
        </w:tc>
      </w:tr>
      <w:tr>
        <w:trPr/>
        <w:tc>
          <w:tcPr>
            <w:tcW w:w="30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both"/>
              <w:rPr/>
            </w:pPr>
            <w:r>
              <w:rPr/>
              <w:t> </w:t>
            </w:r>
          </w:p>
        </w:tc>
      </w:tr>
    </w:tbl>
    <w:tbl>
      <w:tblPr>
        <w:tblW w:w="2275" w:type="dxa"/>
        <w:jc w:val="left"/>
        <w:tblInd w:w="0" w:type="dxa"/>
        <w:tblLayout w:type="fixed"/>
        <w:tblCellMar>
          <w:top w:w="0" w:type="dxa"/>
          <w:left w:w="0" w:type="dxa"/>
          <w:bottom w:w="0" w:type="dxa"/>
          <w:right w:w="0" w:type="dxa"/>
        </w:tblCellMar>
      </w:tblPr>
      <w:tblGrid>
        <w:gridCol w:w="230"/>
        <w:gridCol w:w="2045"/>
      </w:tblGrid>
      <w:tr>
        <w:trPr/>
        <w:tc>
          <w:tcPr>
            <w:tcW w:w="23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both"/>
              <w:rPr/>
            </w:pPr>
            <w:r>
              <w:rPr/>
              <w:t>Amount less than $1.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POLYPID LTD. AND ITS SUBSIDIARIES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bookmarkStart w:id="7" w:name="f_004"/>
      <w:bookmarkEnd w:id="7"/>
      <w:r>
        <w:rPr>
          <w:rFonts w:ascii="Times New Roman;Times;Serif" w:hAnsi="Times New Roman;Times;Serif"/>
          <w:b/>
          <w:i w:val="false"/>
          <w:caps w:val="false"/>
          <w:smallCaps w:val="false"/>
          <w:sz w:val="20"/>
        </w:rPr>
        <w:t>INTERIM CONDENSED CONSOLIDATED STATEMENTS OF CASH FLOWS (UNAUDITED)</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both"/>
        <w:rPr>
          <w:caps w:val="false"/>
          <w:smallCaps w:val="false"/>
        </w:rPr>
      </w:pPr>
      <w:r>
        <w:rPr>
          <w:caps w:val="false"/>
          <w:smallCaps w:val="false"/>
        </w:rPr>
        <w:t> </w:t>
      </w:r>
    </w:p>
    <w:tbl>
      <w:tblPr>
        <w:tblW w:w="9890" w:type="dxa"/>
        <w:jc w:val="left"/>
        <w:tblInd w:w="0" w:type="dxa"/>
        <w:tblLayout w:type="fixed"/>
        <w:tblCellMar>
          <w:top w:w="0" w:type="dxa"/>
          <w:left w:w="0" w:type="dxa"/>
          <w:bottom w:w="0" w:type="dxa"/>
          <w:right w:w="0" w:type="dxa"/>
        </w:tblCellMar>
      </w:tblPr>
      <w:tblGrid>
        <w:gridCol w:w="7775"/>
        <w:gridCol w:w="60"/>
        <w:gridCol w:w="140"/>
        <w:gridCol w:w="755"/>
        <w:gridCol w:w="95"/>
        <w:gridCol w:w="60"/>
        <w:gridCol w:w="140"/>
        <w:gridCol w:w="755"/>
        <w:gridCol w:w="110"/>
      </w:tblGrid>
      <w:tr>
        <w:trPr/>
        <w:tc>
          <w:tcPr>
            <w:tcW w:w="77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ind w:left="0" w:right="0" w:hanging="180"/>
              <w:jc w:val="left"/>
              <w:rPr/>
            </w:pPr>
            <w:r>
              <w:rPr/>
              <w:t> </w:t>
            </w:r>
          </w:p>
        </w:tc>
      </w:tr>
      <w:tr>
        <w:trPr/>
        <w:tc>
          <w:tcPr>
            <w:tcW w:w="7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7775" w:type="dxa"/>
            <w:tcBorders/>
            <w:vAlign w:val="center"/>
          </w:tcPr>
          <w:p>
            <w:pPr>
              <w:pStyle w:val="TableContents"/>
              <w:bidi w:val="0"/>
              <w:spacing w:before="0" w:after="283"/>
              <w:jc w:val="left"/>
              <w:rPr>
                <w:u w:val="single"/>
              </w:rPr>
            </w:pPr>
            <w:r>
              <w:rPr>
                <w:u w:val="single"/>
              </w:rPr>
              <w:t>Cash flows from operating activities: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(18,245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775"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Depreciation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Non-cash financial expenses,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2,875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i/>
              </w:rPr>
            </w:pPr>
            <w:r>
              <w:rPr>
                <w:i/>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Pre-launch 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Operating lease right-of-use-assets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775"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Exchange rate differences gain on cash balances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(13,835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(12,711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u w:val="single"/>
              </w:rPr>
            </w:pPr>
            <w:r>
              <w:rPr>
                <w:u w:val="single"/>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Investment in bank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775" w:type="dxa"/>
            <w:tcBorders/>
            <w:shd w:fill="CCEEFF" w:val="clear"/>
            <w:vAlign w:val="center"/>
          </w:tcPr>
          <w:p>
            <w:pPr>
              <w:pStyle w:val="TableContents"/>
              <w:bidi w:val="0"/>
              <w:spacing w:before="0" w:after="283"/>
              <w:jc w:val="left"/>
              <w:rPr/>
            </w:pPr>
            <w:r>
              <w:rPr/>
              <w:t>Proceeds from bank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(12,016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u w:val="single"/>
              </w:rPr>
            </w:pPr>
            <w:r>
              <w:rPr>
                <w:u w:val="single"/>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Proceeds from issuance of Ordinary shares, warrants and pre-funded warrants,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28,162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Payments due to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(1,614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26,548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Exchange rate differences on cash and cash equivalent balances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b/>
              </w:rPr>
            </w:pPr>
            <w:r>
              <w:rPr>
                <w:b/>
              </w:rPr>
              <w:t>Increase in cash, cash equivalents and restricted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1,821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Cash, cash equivalents and restricted deposits at the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15,809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775" w:type="dxa"/>
            <w:tcBorders/>
            <w:shd w:fill="FFFFFF" w:val="clear"/>
            <w:vAlign w:val="center"/>
          </w:tcPr>
          <w:p>
            <w:pPr>
              <w:pStyle w:val="TableContents"/>
              <w:bidi w:val="0"/>
              <w:spacing w:before="0" w:after="283"/>
              <w:jc w:val="left"/>
              <w:rPr/>
            </w:pPr>
            <w:r>
              <w:rPr/>
              <w:t>Cash, cash equivalents and restricted deposits at the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6,770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17,630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POLYPID LTD. AND ITS SUBSIDIARIES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INTERIM CONDENSED CONSOLIDATED STATEMENTS OF CASH FLOWS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6560"/>
        <w:gridCol w:w="60"/>
        <w:gridCol w:w="140"/>
        <w:gridCol w:w="560"/>
        <w:gridCol w:w="60"/>
        <w:gridCol w:w="60"/>
        <w:gridCol w:w="140"/>
        <w:gridCol w:w="680"/>
        <w:gridCol w:w="75"/>
      </w:tblGrid>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6"/>
            <w:tcBorders>
              <w:bottom w:val="single" w:sz="12" w:space="0" w:color="000000"/>
            </w:tcBorders>
            <w:tcMar>
              <w:bottom w:w="28" w:type="dxa"/>
            </w:tcMar>
            <w:vAlign w:val="center"/>
          </w:tcPr>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b/>
                <w:u w:val="single"/>
              </w:rPr>
            </w:pPr>
            <w:r>
              <w:rPr>
                <w:b/>
                <w:u w:val="single"/>
              </w:rPr>
              <w:t>Supplemental disclosures of cash flow information:</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17,448</w:t>
            </w:r>
          </w:p>
        </w:tc>
        <w:tc>
          <w:tcPr>
            <w:tcW w:w="7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Restricted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182</w:t>
            </w:r>
          </w:p>
        </w:tc>
        <w:tc>
          <w:tcPr>
            <w:tcW w:w="7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Cash, cash equivalents and restricted deposits at the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6,770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17,630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POLYPID LTD. AND ITS SUBSIDIARIES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bookmarkStart w:id="8" w:name="f_005"/>
      <w:bookmarkEnd w:id="8"/>
      <w:r>
        <w:rPr>
          <w:rFonts w:ascii="Times New Roman;Times;Serif" w:hAnsi="Times New Roman;Times;Serif"/>
          <w:b/>
          <w:i w:val="false"/>
          <w:caps w:val="false"/>
          <w:smallCaps w:val="false"/>
          <w:sz w:val="20"/>
        </w:rPr>
        <w:t>NOTES TO INTERIM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1055"/>
        <w:gridCol w:w="1250"/>
      </w:tblGrid>
      <w:tr>
        <w:trPr/>
        <w:tc>
          <w:tcPr>
            <w:tcW w:w="1055" w:type="dxa"/>
            <w:tcBorders/>
            <w:vAlign w:val="center"/>
          </w:tcPr>
          <w:p>
            <w:pPr>
              <w:pStyle w:val="TableContents"/>
              <w:bidi w:val="0"/>
              <w:spacing w:before="0" w:after="283"/>
              <w:jc w:val="left"/>
              <w:rPr>
                <w:b/>
              </w:rPr>
            </w:pPr>
            <w:r>
              <w:rPr>
                <w:b/>
              </w:rPr>
              <w:t>NOTE 1:-</w:t>
            </w:r>
          </w:p>
        </w:tc>
        <w:tc>
          <w:tcPr>
            <w:tcW w:w="1250" w:type="dxa"/>
            <w:tcBorders/>
            <w:vAlign w:val="center"/>
          </w:tcPr>
          <w:p>
            <w:pPr>
              <w:pStyle w:val="TableContents"/>
              <w:bidi w:val="0"/>
              <w:spacing w:before="0" w:after="283"/>
              <w:jc w:val="both"/>
              <w:rPr>
                <w:b/>
              </w:rPr>
            </w:pPr>
            <w:r>
              <w:rPr>
                <w:b/>
              </w:rPr>
              <w:t>GENERAL</w:t>
            </w:r>
          </w:p>
        </w:tc>
      </w:tr>
    </w:tbl>
    <w:p>
      <w:pPr>
        <w:pStyle w:val="TextBody"/>
        <w:bidi w:val="0"/>
        <w:spacing w:before="0" w:after="0"/>
        <w:ind w:left="1134" w:right="0" w:hanging="11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 (the "Company") was incorporated under the laws of Israel and commenced operations on February 28, 2008. The Company is an innovative biopharmaceutical company dedicated to improving patient outcomes by elevating treatment effectiveness, right where care begins. The Company develops long-acting, controlled-release medicine designed to deliver therapy precisely at the site of care, addressing critical unmet medical needs across a wide and diverse pipeline spanning surgical care, metabolic diseases, and beyond. The Company’s lead product,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successfully met its primary and all key secondary endpoints in the pivotal Phase 3 Surgical site Hospital acquired Infection prEvention with Local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(“SHIELD II”) trial for the prevention of surgical site infections (“SSIs”). Through June 30, 2026, the Company has been primarily engaged in research and development.</w:t>
            </w:r>
          </w:p>
        </w:tc>
      </w:tr>
    </w:tbl>
    <w:p>
      <w:pPr>
        <w:pStyle w:val="TextBody"/>
        <w:bidi w:val="0"/>
        <w:spacing w:before="0" w:after="0"/>
        <w:ind w:left="1701"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The Company wholly owned subsidiaries include a subsidiary in the United States of America (the “US Subsidiary”) and a subsidiary in Romania. The US Subsidiary’s operation focuses on marketing and business development of the Company’s operation in the United States of America.</w:t>
            </w:r>
          </w:p>
        </w:tc>
      </w:tr>
    </w:tbl>
    <w:p>
      <w:pPr>
        <w:pStyle w:val="TextBody"/>
        <w:bidi w:val="0"/>
        <w:spacing w:before="0" w:after="0"/>
        <w:ind w:left="170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The Company’s activities since inception have consisted of performing research and development activities. Successful completion of the Company’s development programs and, ultimately, the attainment of profitable operations is dependent on future events, including, among other things, its ability to secure financing; obtain marketing approval from regulatory authorities; access potential markets; build a sustainable customer base; attract, retain and motivate qualified personnel; and develop strategic alliances. The Company’s operations are funded by its shareholders and research and development grants and the Company intends to seek further private or public financing as well as make applications for further research and development grants for continuing its operations. Although management believes that the Company will be able to successfully fund its operations, there can be no assurance that the Company will be able to do so or that the Company will ever operate profitably.</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announced positive top-line results from the SHIELD II Phase 3 trial.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successfully met the primary efficacy endpoint, with statistically significant results (p&lt;0.005) in 798 patients with large abdominal surgery incisions. The trial successfully met all key secondary efficacy endpoints, including a 60% reduction in the rate of SSIs in patients treated with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arm versus standard of care arm (p&lt;0.005). The Company successfully completed its New Drug Application (“NDA”) submission on a rolling review basis to the U.S. Food and Drug Administration (“FDA”) for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and anticipates a potential FDA decision in the fourth quarter of 2026 under the Prescription Drug User Fee Act review timeline. </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continue to incur substantial losses for the foreseeable future. To fully execute its business plan, the Company will need to do certain development activities as well as manufacture the required clinical and commercial production batches in the pilot manufacturing plant. Further, the Company’s product candidates will require regulatory approval prior to commercialization, and the Company will need to establish sales, marketing and logistic infrastructures. These activities may span many years and require substantial expenditures to complete and may ultimately be unsuccessful. Any delays in completing these activities could adversely impact the Company.</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701" w:right="0" w:hanging="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- 8 -</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 AND ITS SUBSIDIARIES</w:t>
      </w:r>
    </w:p>
    <w:p>
      <w:pPr>
        <w:pStyle w:val="TextBody"/>
        <w:bidi w:val="0"/>
        <w:spacing w:before="0" w:after="0"/>
        <w:ind w:left="1701" w:right="0" w:hanging="567"/>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1701" w:right="0" w:hanging="567"/>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055"/>
        <w:gridCol w:w="2030"/>
      </w:tblGrid>
      <w:tr>
        <w:trPr/>
        <w:tc>
          <w:tcPr>
            <w:tcW w:w="1055" w:type="dxa"/>
            <w:tcBorders/>
            <w:vAlign w:val="center"/>
          </w:tcPr>
          <w:p>
            <w:pPr>
              <w:pStyle w:val="TableContents"/>
              <w:bidi w:val="0"/>
              <w:spacing w:before="0" w:after="283"/>
              <w:jc w:val="left"/>
              <w:rPr>
                <w:b/>
              </w:rPr>
            </w:pPr>
            <w:r>
              <w:rPr>
                <w:b/>
              </w:rPr>
              <w:t>NOTE 1:-</w:t>
            </w:r>
          </w:p>
        </w:tc>
        <w:tc>
          <w:tcPr>
            <w:tcW w:w="2030" w:type="dxa"/>
            <w:tcBorders/>
            <w:vAlign w:val="center"/>
          </w:tcPr>
          <w:p>
            <w:pPr>
              <w:pStyle w:val="TableContents"/>
              <w:bidi w:val="0"/>
              <w:spacing w:before="0" w:after="283"/>
              <w:jc w:val="both"/>
              <w:rPr>
                <w:b/>
              </w:rPr>
            </w:pPr>
            <w:r>
              <w:rPr>
                <w:b/>
              </w:rPr>
              <w:t>GENERAL (Cont.)</w:t>
            </w:r>
          </w:p>
        </w:tc>
      </w:tr>
    </w:tbl>
    <w:p>
      <w:pPr>
        <w:pStyle w:val="TextBody"/>
        <w:bidi w:val="0"/>
        <w:spacing w:before="0" w:after="0"/>
        <w:ind w:left="1701"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As of June 30, 2026, the Company had cash and cash equivalents of $6,563. During the six-month period ended June 30, 2026, the Company incurred a net loss of $15,577 and had negative cash flows from operating activities of $13,835. In addition, the Company had an accumulated deficit of $317,077 at June 30, 2026.</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operations are highly dependent on a combination of factors, including (i) completion of all required clinical studies; (ii) the success of its research and development activities; (iii) manufacture of all required clinical and commercial production batches; (iv) marketing approval by the relevant regulatory authorities; and (v) market acceptance of the Company’s product candidates.</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Company will succeed in achieving the clinical, scientific and commercial milestones as detailed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abovementioned, as of the approval date of these interim consolidated financial statements, the Company has not raised the necessary funding in order to continue its activity for a period of at least one year. Therefore, these factors raise a substantial doubt about the Company’s ability to continue as a going concern.</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consolidated financial statements do not include any adjustments to the carrying amounts and classifications of assets and liabilities that might result should the Company be unable to continue as a going concern, and such adjustments could be material.</w:t>
      </w:r>
    </w:p>
    <w:p>
      <w:pPr>
        <w:pStyle w:val="TextBody"/>
        <w:bidi w:val="0"/>
        <w:spacing w:before="0" w:after="0"/>
        <w:ind w:left="1701" w:right="0" w:hanging="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1055"/>
        <w:gridCol w:w="4625"/>
      </w:tblGrid>
      <w:tr>
        <w:trPr/>
        <w:tc>
          <w:tcPr>
            <w:tcW w:w="1055" w:type="dxa"/>
            <w:tcBorders/>
            <w:vAlign w:val="center"/>
          </w:tcPr>
          <w:p>
            <w:pPr>
              <w:pStyle w:val="TableContents"/>
              <w:bidi w:val="0"/>
              <w:spacing w:before="0" w:after="283"/>
              <w:jc w:val="left"/>
              <w:rPr>
                <w:b/>
              </w:rPr>
            </w:pPr>
            <w:r>
              <w:rPr>
                <w:b/>
              </w:rPr>
              <w:t>NOTE 2:-</w:t>
            </w:r>
          </w:p>
        </w:tc>
        <w:tc>
          <w:tcPr>
            <w:tcW w:w="4625" w:type="dxa"/>
            <w:tcBorders/>
            <w:vAlign w:val="center"/>
          </w:tcPr>
          <w:p>
            <w:pPr>
              <w:pStyle w:val="TableContents"/>
              <w:bidi w:val="0"/>
              <w:spacing w:before="0" w:after="283"/>
              <w:jc w:val="both"/>
              <w:rPr>
                <w:b/>
              </w:rPr>
            </w:pPr>
            <w:r>
              <w:rPr>
                <w:b/>
              </w:rPr>
              <w:t>SIGNIFICANT ACCOUNTING POLICIES</w:t>
            </w:r>
          </w:p>
        </w:tc>
      </w:tr>
    </w:tbl>
    <w:p>
      <w:pPr>
        <w:pStyle w:val="TextBody"/>
        <w:bidi w:val="0"/>
        <w:spacing w:before="0" w:after="0"/>
        <w:ind w:left="1134" w:right="0" w:hanging="1134"/>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185"/>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6560" w:type="dxa"/>
            <w:tcBorders/>
            <w:vAlign w:val="center"/>
          </w:tcPr>
          <w:p>
            <w:pPr>
              <w:pStyle w:val="TableContents"/>
              <w:bidi w:val="0"/>
              <w:spacing w:before="0" w:after="283"/>
              <w:jc w:val="both"/>
              <w:rPr/>
            </w:pPr>
            <w:r>
              <w:rPr/>
              <w:t>Basis of presentation and summary of significant accounting policies:</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consolidated financial statements of the Company have been prepared in conformity with accounting principles generally accepted in the United States and are consistent in all material respects with those applied in the Company’s Annual Report on Form 20-F for the year ended December 31, 2025, filed with the Securities and Exchange Commission on February 25, 2026. </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interim consolidated financial statements in conformity with U.S. generally accepted accounting principles requires management to make estimates and judgments that affect the amounts reported in the interim consolidated financial statements and accompanying notes. Significant items subject to such estimates and assumptions, but are not limited to, the fair value of financial assets and liabilities, the useful lives of property and equipment and the determination of the fair value of the Company’s share-based compensation. The Company bases these estimates on historical and anticipated results, trends and various other assumptions that it believes are reasonable under the circumstances, including assumptions as to future events. Actual results could differ from those estimates.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- 9 -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1800" w:right="0" w:hanging="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1055"/>
        <w:gridCol w:w="5405"/>
      </w:tblGrid>
      <w:tr>
        <w:trPr/>
        <w:tc>
          <w:tcPr>
            <w:tcW w:w="1055" w:type="dxa"/>
            <w:tcBorders/>
            <w:vAlign w:val="center"/>
          </w:tcPr>
          <w:p>
            <w:pPr>
              <w:pStyle w:val="TableContents"/>
              <w:bidi w:val="0"/>
              <w:spacing w:before="0" w:after="283"/>
              <w:jc w:val="left"/>
              <w:rPr>
                <w:b/>
              </w:rPr>
            </w:pPr>
            <w:r>
              <w:rPr>
                <w:b/>
              </w:rPr>
              <w:t>NOTE 2:-</w:t>
            </w:r>
          </w:p>
        </w:tc>
        <w:tc>
          <w:tcPr>
            <w:tcW w:w="5405" w:type="dxa"/>
            <w:tcBorders/>
            <w:vAlign w:val="center"/>
          </w:tcPr>
          <w:p>
            <w:pPr>
              <w:pStyle w:val="TableContents"/>
              <w:bidi w:val="0"/>
              <w:spacing w:before="0" w:after="283"/>
              <w:jc w:val="both"/>
              <w:rPr>
                <w:b/>
              </w:rPr>
            </w:pPr>
            <w:r>
              <w:rPr>
                <w:b/>
              </w:rPr>
              <w:t>SIGNIFICANT ACCOUNTING POLICIES (Cont.)</w:t>
            </w:r>
          </w:p>
        </w:tc>
      </w:tr>
    </w:tbl>
    <w:p>
      <w:pPr>
        <w:pStyle w:val="TextBody"/>
        <w:bidi w:val="0"/>
        <w:spacing w:before="0" w:after="0"/>
        <w:ind w:left="1800" w:right="0" w:hanging="0"/>
        <w:jc w:val="both"/>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185"/>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7295" w:type="dxa"/>
            <w:tcBorders/>
            <w:vAlign w:val="center"/>
          </w:tcPr>
          <w:p>
            <w:pPr>
              <w:pStyle w:val="TableContents"/>
              <w:bidi w:val="0"/>
              <w:spacing w:before="0" w:after="283"/>
              <w:jc w:val="both"/>
              <w:rPr/>
            </w:pPr>
            <w:r>
              <w:rPr/>
              <w:t>Basis of presentation and summary of significant accounting policies: (Cont.)</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financial information is unaudited, but reflects all normal recurring adjustments that are, in the opinion of management, necessary to fairly present the information set forth herein. The interim consolidated financial statements should be read in conjunction with the audited consolidated financial statements and related notes included in the Company’s Annual Report on Form 20-F for the year ended December 31, 2025 (the “2025 Consolidated Financial Statements”). Interim results are not necessarily indicative of the results for a full year.</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the Company’s significant accounting policies as compared to the significant accounting policies described in the Company’s Annual Report on Form 20-F for the year ended December 31, 2025.</w:t>
      </w:r>
    </w:p>
    <w:p>
      <w:pPr>
        <w:pStyle w:val="TextBody"/>
        <w:bidi w:val="0"/>
        <w:spacing w:before="0" w:after="0"/>
        <w:ind w:left="1134" w:right="0" w:hanging="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0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3065" w:type="dxa"/>
            <w:tcBorders/>
            <w:vAlign w:val="center"/>
          </w:tcPr>
          <w:p>
            <w:pPr>
              <w:pStyle w:val="TableContents"/>
              <w:bidi w:val="0"/>
              <w:spacing w:before="0" w:after="283"/>
              <w:jc w:val="both"/>
              <w:rPr/>
            </w:pPr>
            <w:r>
              <w:rPr/>
              <w:t>Basic and diluted loss per share:</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Company’s basic loss per share is calculated by dividing the loss attributable to Ordinary shareholders by the weighted-average number of shares of Ordinary shares outstanding for the period, without consideration of potentially dilutive securities. The diluted loss per share is calculated by giving effect to all potentially dilutive securities outstanding for the period using the treasury share method or the if-converted method based on the nature of such securities. Diluted loss per share is the same as basic loss per share in periods when the effects of potentially dilutive shares of Ordinary shares are anti-dilutive</w:t>
      </w:r>
      <w:r>
        <w:rPr>
          <w:rFonts w:ascii="Times New Roman;Times;Serif" w:hAnsi="Times New Roman;Times;Serif"/>
          <w:b w:val="false"/>
          <w:i w:val="false"/>
          <w:caps w:val="false"/>
          <w:smallCaps w:val="false"/>
          <w:sz w:val="20"/>
        </w:rPr>
        <w:t>.</w:t>
      </w:r>
    </w:p>
    <w:p>
      <w:pPr>
        <w:pStyle w:val="TextBody"/>
        <w:bidi w:val="0"/>
        <w:spacing w:before="0" w:after="0"/>
        <w:ind w:left="1800" w:right="0" w:hanging="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85"/>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5810" w:type="dxa"/>
            <w:tcBorders/>
            <w:vAlign w:val="center"/>
          </w:tcPr>
          <w:p>
            <w:pPr>
              <w:pStyle w:val="TableContents"/>
              <w:bidi w:val="0"/>
              <w:spacing w:before="0" w:after="283"/>
              <w:jc w:val="both"/>
              <w:rPr/>
            </w:pPr>
            <w:r>
              <w:rPr/>
              <w:t>Recently issued accounting pronouncements not yet adopted:</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Financial Accounting Standards Board (“FASB”) issued Accounting Standards Update (“ASU”) 2025-11, Interim Reporting (Topic 270) - Narrow-Scope Improvements. The ASU was updated to improve the navigability of the required interim disclosures within “Accounting Standards Codification” (“ASC”) No. 270 and to clarify when the guidance applies. This ASU is not intended to change the fundamental nature of interim reporting or expand or reduce current interim disclosure requirements. The amendments in this ASU are required to be adopted for interim reporting periods beginning after December 15, 2027, with early adoption permitted, and may be applied either through a prospective or retrospective approach. The Company is currently evaluating the effect of adopting the ASU on its condensed consolidated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Government Grants (Topic 832): Accounting for Government Grants Received by Business Entities. The update provides recognition, measurement, presentation, and disclosure requirements for government grants, including guidance for grants related to an asset and grants related to income. The amendments introduced two permitted approaches for asset-related grants: a deferred income approach or a cost accumulation approach. The guidance is effective for the Company beginning January 1, 2029, with early adoption permitted. The Company is currently evaluating the impact on its consolidated financial statement.</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- 10 -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180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055"/>
        <w:gridCol w:w="3710"/>
      </w:tblGrid>
      <w:tr>
        <w:trPr/>
        <w:tc>
          <w:tcPr>
            <w:tcW w:w="1055" w:type="dxa"/>
            <w:tcBorders/>
            <w:vAlign w:val="center"/>
          </w:tcPr>
          <w:p>
            <w:pPr>
              <w:pStyle w:val="TableContents"/>
              <w:bidi w:val="0"/>
              <w:spacing w:before="0" w:after="283"/>
              <w:jc w:val="left"/>
              <w:rPr>
                <w:b/>
              </w:rPr>
            </w:pPr>
            <w:r>
              <w:rPr>
                <w:b/>
              </w:rPr>
              <w:t>NOTE 3:-</w:t>
            </w:r>
          </w:p>
        </w:tc>
        <w:tc>
          <w:tcPr>
            <w:tcW w:w="3710" w:type="dxa"/>
            <w:tcBorders/>
            <w:vAlign w:val="center"/>
          </w:tcPr>
          <w:p>
            <w:pPr>
              <w:pStyle w:val="TableContents"/>
              <w:bidi w:val="0"/>
              <w:spacing w:before="0" w:after="283"/>
              <w:jc w:val="both"/>
              <w:rPr>
                <w:b/>
              </w:rPr>
            </w:pPr>
            <w:r>
              <w:rPr>
                <w:b/>
              </w:rPr>
              <w:t>LINE OF CREDIT AGREEMENT</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discussion in Note 7 in the 2025 Consolidated Financial Statements regarding the secured line of credit agreement signed on April 5, 2022, with Kreos Capital VI (Expert Fund) LP (“Kreos”) (the “Credit Line”), the outstanding loan balance was fully repaid on May 4, 2026.</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055"/>
        <w:gridCol w:w="5855"/>
      </w:tblGrid>
      <w:tr>
        <w:trPr/>
        <w:tc>
          <w:tcPr>
            <w:tcW w:w="1055" w:type="dxa"/>
            <w:tcBorders/>
            <w:vAlign w:val="center"/>
          </w:tcPr>
          <w:p>
            <w:pPr>
              <w:pStyle w:val="TableContents"/>
              <w:bidi w:val="0"/>
              <w:spacing w:before="0" w:after="283"/>
              <w:jc w:val="left"/>
              <w:rPr>
                <w:b/>
              </w:rPr>
            </w:pPr>
            <w:r>
              <w:rPr>
                <w:b/>
              </w:rPr>
              <w:t>NOTE 4:-</w:t>
            </w:r>
          </w:p>
        </w:tc>
        <w:tc>
          <w:tcPr>
            <w:tcW w:w="5855" w:type="dxa"/>
            <w:tcBorders/>
            <w:vAlign w:val="center"/>
          </w:tcPr>
          <w:p>
            <w:pPr>
              <w:pStyle w:val="TableContents"/>
              <w:bidi w:val="0"/>
              <w:spacing w:before="0" w:after="283"/>
              <w:jc w:val="both"/>
              <w:rPr>
                <w:b/>
              </w:rPr>
            </w:pPr>
            <w:r>
              <w:rPr>
                <w:b/>
              </w:rPr>
              <w:t>COMMITMENTS AND CONTINGENT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its research and development programs, through June 30, 2026, the Company received participation payments from the Israel Innovation Authority of the Ministry of Economy in Israel (“IIA”) in the aggregate amount of $4,898. In return for IIA’s participation, the Company is committed to pay royalties at a rate of 3% of sales of the developed products, up to 100% of the amount of grants received plus interest at Secured Overnight Financing Rate.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six-month period ended June 30, 2026, no new participation payments were received. Through June 30, 2026, no royalties have been paid or accrued. </w:t>
      </w:r>
    </w:p>
    <w:p>
      <w:pPr>
        <w:pStyle w:val="TextBody"/>
        <w:bidi w:val="0"/>
        <w:spacing w:before="0" w:after="0"/>
        <w:ind w:left="1800" w:right="0" w:hanging="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055"/>
        <w:gridCol w:w="3155"/>
      </w:tblGrid>
      <w:tr>
        <w:trPr/>
        <w:tc>
          <w:tcPr>
            <w:tcW w:w="1055" w:type="dxa"/>
            <w:tcBorders/>
            <w:vAlign w:val="center"/>
          </w:tcPr>
          <w:p>
            <w:pPr>
              <w:pStyle w:val="TableContents"/>
              <w:bidi w:val="0"/>
              <w:spacing w:before="0" w:after="283"/>
              <w:jc w:val="left"/>
              <w:rPr>
                <w:b/>
              </w:rPr>
            </w:pPr>
            <w:r>
              <w:rPr>
                <w:b/>
              </w:rPr>
              <w:t>NOTE 5:-</w:t>
            </w:r>
          </w:p>
        </w:tc>
        <w:tc>
          <w:tcPr>
            <w:tcW w:w="3155" w:type="dxa"/>
            <w:tcBorders/>
            <w:vAlign w:val="center"/>
          </w:tcPr>
          <w:p>
            <w:pPr>
              <w:pStyle w:val="TableContents"/>
              <w:bidi w:val="0"/>
              <w:spacing w:before="0" w:after="283"/>
              <w:jc w:val="both"/>
              <w:rPr>
                <w:b/>
              </w:rPr>
            </w:pPr>
            <w:r>
              <w:rPr>
                <w:b/>
              </w:rPr>
              <w:t>SHAREHOLDERS’ EQUITY</w:t>
            </w:r>
          </w:p>
        </w:tc>
      </w:tr>
    </w:tbl>
    <w:p>
      <w:pPr>
        <w:pStyle w:val="TextBody"/>
        <w:bidi w:val="0"/>
        <w:spacing w:before="0" w:after="0"/>
        <w:ind w:left="2268" w:right="0" w:hanging="2268"/>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85"/>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6290" w:type="dxa"/>
            <w:tcBorders/>
            <w:vAlign w:val="center"/>
          </w:tcPr>
          <w:p>
            <w:pPr>
              <w:pStyle w:val="TableContents"/>
              <w:bidi w:val="0"/>
              <w:spacing w:before="0" w:after="283"/>
              <w:jc w:val="both"/>
              <w:rPr/>
            </w:pPr>
            <w:r>
              <w:rPr/>
              <w:t>Ordinary share capital (with no par value) is composed as follows:</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535"/>
        <w:gridCol w:w="60"/>
        <w:gridCol w:w="60"/>
        <w:gridCol w:w="1220"/>
        <w:gridCol w:w="60"/>
        <w:gridCol w:w="60"/>
        <w:gridCol w:w="63"/>
        <w:gridCol w:w="1157"/>
        <w:gridCol w:w="60"/>
        <w:gridCol w:w="60"/>
        <w:gridCol w:w="60"/>
        <w:gridCol w:w="1220"/>
        <w:gridCol w:w="60"/>
        <w:gridCol w:w="60"/>
        <w:gridCol w:w="63"/>
        <w:gridCol w:w="1157"/>
        <w:gridCol w:w="7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Issued and</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Issued and</w:t>
              <w:br/>
              <w:t>outstanding</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Audited</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107,800,000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double" w:sz="10" w:space="0" w:color="000000"/>
            </w:tcBorders>
            <w:shd w:fill="CCEEFF" w:val="clear"/>
            <w:tcMar>
              <w:bottom w:w="28" w:type="dxa"/>
            </w:tcMar>
            <w:vAlign w:val="center"/>
          </w:tcPr>
          <w:p>
            <w:pPr>
              <w:pStyle w:val="TableContents"/>
              <w:bidi w:val="0"/>
              <w:spacing w:before="0" w:after="283"/>
              <w:jc w:val="right"/>
              <w:rPr/>
            </w:pPr>
            <w:r>
              <w:rPr/>
              <w:t>20,311,766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107,800,000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double" w:sz="10" w:space="0" w:color="000000"/>
            </w:tcBorders>
            <w:shd w:fill="CCEEFF" w:val="clear"/>
            <w:tcMar>
              <w:bottom w:w="28" w:type="dxa"/>
            </w:tcMar>
            <w:vAlign w:val="center"/>
          </w:tcPr>
          <w:p>
            <w:pPr>
              <w:pStyle w:val="TableContents"/>
              <w:bidi w:val="0"/>
              <w:spacing w:before="0" w:after="283"/>
              <w:jc w:val="right"/>
              <w:rPr/>
            </w:pPr>
            <w:r>
              <w:rPr/>
              <w:t>18,204,002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55"/>
        <w:gridCol w:w="3935"/>
      </w:tblGrid>
      <w:tr>
        <w:trPr/>
        <w:tc>
          <w:tcPr>
            <w:tcW w:w="1055" w:type="dxa"/>
            <w:tcBorders/>
            <w:vAlign w:val="center"/>
          </w:tcPr>
          <w:p>
            <w:pPr>
              <w:pStyle w:val="TableContents"/>
              <w:bidi w:val="0"/>
              <w:spacing w:before="0" w:after="283"/>
              <w:jc w:val="left"/>
              <w:rPr>
                <w:b/>
              </w:rPr>
            </w:pPr>
            <w:r>
              <w:rPr>
                <w:b/>
              </w:rPr>
              <w:t>NOTE 5:-</w:t>
            </w:r>
          </w:p>
        </w:tc>
        <w:tc>
          <w:tcPr>
            <w:tcW w:w="3935" w:type="dxa"/>
            <w:tcBorders/>
            <w:vAlign w:val="center"/>
          </w:tcPr>
          <w:p>
            <w:pPr>
              <w:pStyle w:val="TableContents"/>
              <w:bidi w:val="0"/>
              <w:spacing w:before="0" w:after="283"/>
              <w:jc w:val="both"/>
              <w:rPr>
                <w:b/>
              </w:rPr>
            </w:pPr>
            <w:r>
              <w:rPr>
                <w:b/>
              </w:rPr>
              <w:t>SHAREHOLDERS’ EQUITY (Cont.)</w:t>
            </w:r>
          </w:p>
        </w:tc>
      </w:tr>
    </w:tbl>
    <w:p>
      <w:pPr>
        <w:pStyle w:val="TextBody"/>
        <w:bidi w:val="0"/>
        <w:spacing w:before="0" w:after="0"/>
        <w:ind w:left="0" w:right="0" w:hanging="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20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6695" w:type="dxa"/>
            <w:tcBorders/>
            <w:vAlign w:val="center"/>
          </w:tcPr>
          <w:p>
            <w:pPr>
              <w:pStyle w:val="TableContents"/>
              <w:bidi w:val="0"/>
              <w:spacing w:before="0" w:after="283"/>
              <w:jc w:val="both"/>
              <w:rPr/>
            </w:pPr>
            <w:r>
              <w:rPr/>
              <w:t>Controlled Equity Offering Sales Agreement (the “Sales Agreement”):</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Company entered into a Sales Agreement, with Oppenheimer &amp; Co. Inc. (the “Agent”). Pursuant to the Sales Agreement, the Company may offer and sell, from time to time, its Ordinary shares, through the Agent in an at the market offering (“ATM’”), as defined in Rule 415(a)(4) promulgated under the Securities Act of 1933, as amended, for an aggregate offering price of up to $15,000. </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six-month period ended June 30, 2026, the Company sold 796,581 Ordinary shares under the ATM for a total amount of $3,703, net of issuance cost. </w:t>
      </w:r>
    </w:p>
    <w:p>
      <w:pPr>
        <w:pStyle w:val="TextBody"/>
        <w:bidi w:val="0"/>
        <w:spacing w:before="0" w:after="0"/>
        <w:ind w:left="1701" w:right="0" w:hanging="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185"/>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3815" w:type="dxa"/>
            <w:tcBorders/>
            <w:vAlign w:val="center"/>
          </w:tcPr>
          <w:p>
            <w:pPr>
              <w:pStyle w:val="TableContents"/>
              <w:bidi w:val="0"/>
              <w:spacing w:before="0" w:after="283"/>
              <w:jc w:val="both"/>
              <w:rPr/>
            </w:pPr>
            <w:r>
              <w:rPr/>
              <w:t>Private placements and public offerings:</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2024, the Company entered into a definitive securities purchase agreement for a private placement financing, led by leading U.S. life sciences-focused investors and certain existing investors. Under the securities purchase agreement, the investors purchased 3,143,693 of the Company’s Ordinary shares at a purchase price of $4.81 per share, pre-funded warrants to purchase up to 227,619 Ordinary shares at an exercise price of $0.0001 per share and warrants to purchase up to 3,371,312 Ordinary shares at an exercise price of $5.50 per share (the “January 2024 Warrants”). The warrants would expire upon the earlier of two years from the date of issuance and 10 trading days following the Company’s announcement of the positive recommendation by Data Safety Monitoring Board regarding the Company’s unblinded interim analysis in its SHIELD II Phase 3 trial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resulting in the stopping of the trial due to positive efficacy. The proceeds to the Company amounted to $15,002, net of issuance cost of $1,216. Exercise of the warrants in full would have resulted in an additional $18,542 in gross proceeds to the Company. The closing of the offering occurred on January 9, 2024. </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20, 2025, the 227,619 pre-funded warrants were exercised to 227,619 Ordinary shares. </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16, 2025, 2,190,121 January 2024 Warrants were exercised as part of the Inducement Letter as defined below. </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remaining 1,181,191 January 2024 Warrants expired.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480, Distinguishing Liabilities from Equity and ASC 815, Derivatives and Hedging, the pre-funded warrants and the January 2024 Warrants qualified for equity accounting. The fair value for each pre-funded warrant and January 2024 Warrant was $4.52.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55"/>
        <w:gridCol w:w="3935"/>
      </w:tblGrid>
      <w:tr>
        <w:trPr/>
        <w:tc>
          <w:tcPr>
            <w:tcW w:w="1055" w:type="dxa"/>
            <w:tcBorders/>
            <w:vAlign w:val="center"/>
          </w:tcPr>
          <w:p>
            <w:pPr>
              <w:pStyle w:val="TableContents"/>
              <w:bidi w:val="0"/>
              <w:spacing w:before="0" w:after="283"/>
              <w:jc w:val="left"/>
              <w:rPr>
                <w:b/>
              </w:rPr>
            </w:pPr>
            <w:r>
              <w:rPr>
                <w:b/>
              </w:rPr>
              <w:t>NOTE 5:-</w:t>
            </w:r>
          </w:p>
        </w:tc>
        <w:tc>
          <w:tcPr>
            <w:tcW w:w="3935" w:type="dxa"/>
            <w:tcBorders/>
            <w:vAlign w:val="center"/>
          </w:tcPr>
          <w:p>
            <w:pPr>
              <w:pStyle w:val="TableContents"/>
              <w:bidi w:val="0"/>
              <w:spacing w:before="0" w:after="283"/>
              <w:jc w:val="both"/>
              <w:rPr>
                <w:b/>
              </w:rPr>
            </w:pPr>
            <w:r>
              <w:rPr>
                <w:b/>
              </w:rPr>
              <w:t>SHAREHOLDERS’ EQUITY (Cont.)</w:t>
            </w:r>
          </w:p>
        </w:tc>
      </w:tr>
    </w:tbl>
    <w:p>
      <w:pPr>
        <w:pStyle w:val="TextBody"/>
        <w:bidi w:val="0"/>
        <w:spacing w:before="0" w:after="0"/>
        <w:ind w:left="1701" w:right="0" w:hanging="567"/>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85"/>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4550" w:type="dxa"/>
            <w:tcBorders/>
            <w:vAlign w:val="center"/>
          </w:tcPr>
          <w:p>
            <w:pPr>
              <w:pStyle w:val="TableContents"/>
              <w:bidi w:val="0"/>
              <w:spacing w:before="0" w:after="283"/>
              <w:jc w:val="both"/>
              <w:rPr/>
            </w:pPr>
            <w:r>
              <w:rPr/>
              <w:t>Private placements and public offerings: (Cont.)</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the Company entered into a definitive securities purchase agreement for a private placement financing. Under the securities purchase agreement, the investors purchased 2,006,226 of the Company’s Ordinary shares at a purchase price of $3.61 per share, pre-funded warrants to purchase up to 229,231 Ordinary shares at an exercise price of $0.0001 per share and warrants to purchase up to 1,676,588 Ordinary shares at an exercise price of $3.61 per share (the “August 2024 Warrants”). The August 2024 Warrants expire upon the earlier of two years from the date of issuance and 10 trading days following the Company’s announcement of the recommendation by the Data Safety Monitoring Board regarding the Company’s unblinded interim analysis in its SHIELD II Phase 3 trial of D- 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resulting in either the stopping of the trial due to positive efficacy, or continuation to planned patient recruitment (up to 630 subjects). The closing of the offering occurred on August 6, 2024. The proceeds to the Company amounted to approximately $7,536, net of issuance costs of $532. Exercise of the August 2024 Warrants in full would result in an additional $6,052 in proceeds to the Company.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2025, the 229,231 pre-funded warrants were exercised to 229,230 Ordinary shares.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to June 2026, 1,204,983 August 2024 Warrants were exercised to 914,124 Ordinary shares and 290,859 pre-funded warrants for a total amount of $4,350.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the 290,859 pre-funded warrants were exercised to 290,859 Ordinary shares.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2024, the Company entered into a definitive securities purchase agreement for a private placement financing. Under the securities purchase agreement, the investors purchased 3,386,962 of the Company’s Ordinary shares, at a purchase price of $3.22 per share, pre-funded warrants to purchase up to 1,106,868 Ordinary shares at an exercise price of $0.0001 per share and warrants to purchase up to 6,740,745 Ordinary shares at an exercise price of $4.00 per share (the “December 2024 Warrants”). The December 2024 Warrants would expire upon the earlier of nine months from the date of issuance and 10 trading days following the Company’s announcement of the top-line results in the Company’s SHIELD II Phase 3 trial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The closing of the offering occurred on December 26, 2024. The offering resulted in proceeds to the Company of $13,325, net of issuance costs of $1,146. Exercise of the warrants in full would result in an additional $26,963 in proceeds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5,436,393 December 2024 Warrants were exercised as part of the Inducement Letter as defined below and on June 23, 2025, 10 trading days following the Company’s announcement of the top-line results in the Company’s SHIELD II Phase 3 trial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the remaining 1,304,352 December 2024 Warrants expired.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9, 2025, and September 4, 2025, 513,517 and 593,351, pre-funded warrants were exercised to 513,501 and 593,351 Ordinary shares, respectively.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55"/>
        <w:gridCol w:w="3935"/>
      </w:tblGrid>
      <w:tr>
        <w:trPr/>
        <w:tc>
          <w:tcPr>
            <w:tcW w:w="1055" w:type="dxa"/>
            <w:tcBorders/>
            <w:vAlign w:val="center"/>
          </w:tcPr>
          <w:p>
            <w:pPr>
              <w:pStyle w:val="TableContents"/>
              <w:bidi w:val="0"/>
              <w:spacing w:before="0" w:after="283"/>
              <w:jc w:val="left"/>
              <w:rPr>
                <w:b/>
              </w:rPr>
            </w:pPr>
            <w:r>
              <w:rPr>
                <w:b/>
              </w:rPr>
              <w:t>NOTE 5:-</w:t>
            </w:r>
          </w:p>
        </w:tc>
        <w:tc>
          <w:tcPr>
            <w:tcW w:w="3935" w:type="dxa"/>
            <w:tcBorders/>
            <w:vAlign w:val="center"/>
          </w:tcPr>
          <w:p>
            <w:pPr>
              <w:pStyle w:val="TableContents"/>
              <w:bidi w:val="0"/>
              <w:spacing w:before="0" w:after="283"/>
              <w:jc w:val="both"/>
              <w:rPr>
                <w:b/>
              </w:rPr>
            </w:pPr>
            <w:r>
              <w:rPr>
                <w:b/>
              </w:rPr>
              <w:t>SHAREHOLDERS’ EQUITY (Cont.)</w:t>
            </w:r>
          </w:p>
        </w:tc>
      </w:tr>
    </w:tbl>
    <w:p>
      <w:pPr>
        <w:pStyle w:val="TextBody"/>
        <w:bidi w:val="0"/>
        <w:spacing w:before="0" w:after="0"/>
        <w:ind w:left="0" w:right="0" w:hanging="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85"/>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4550" w:type="dxa"/>
            <w:tcBorders/>
            <w:vAlign w:val="center"/>
          </w:tcPr>
          <w:p>
            <w:pPr>
              <w:pStyle w:val="TableContents"/>
              <w:bidi w:val="0"/>
              <w:spacing w:before="0" w:after="283"/>
              <w:jc w:val="both"/>
              <w:rPr/>
            </w:pPr>
            <w:r>
              <w:rPr/>
              <w:t>Private placements and public offerings: (Cont.)</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16, 2025, the Company entered into an inducement offer letter agreement (the “Inducement Letter”) with certain holders (each, a “Holder”) of (i) 2,190,121 January 2024 Warrants to purchase up to 2,190,121 of the Company’s Ordinary shares and (ii) 5,436,393 December 2024 Warrants to purchase up to 5,436,393 Ordinary shares (together with the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January 2024 Warrants, the “Existing Warrants”). Pursuant to the Inducement Letter, each Holder agreed to exercise for cash its Existing Warrants to purchase an aggregate of 7,626,514 Ordinary shares, at an exercise price of $3.50 per Ordinary share, in consideration of the Company’s agreement to issue new warrants (the “New Warrants”) to purchase up to 7,626,514 Ordinary shares (the “New Warrant Shares”), at an exercise price of $4.50 per Ordinary share. The Company received aggregate net proceeds of $26,690 from the exercise of the Existing Warrants by the Holders after deducting offering expenses payable by the Company. </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725,000 Ordinary shares held in abeyance were issued to 725,000 Ordinary shares. Of the 7,626,514 Ordinary shares underlying the Existing Warrants, 2,828,319 Ordinary shares issuable to certain Holders were held in abeyance as of June 30, 2026, due to beneficial ownership restrictions in the Existing Warrants.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8, 2026, 103,950 warrants from the New Warrants were exercised to 103,950 Ordinary shares for a total amount of $468.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6, 2026, 232,920 warrants from the New Warrants were canceled due to non-compliance with one of the terms of the Inducement Letter,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Inducement Letter were accounted for as a modification of the Existing Warrants under ASC 815-40. Because both the Existing Warrants and the New Warrants qualified for equity classification before and after the transaction, and since the purpose of the modification was to induce immediate cash exercise of the Existing Warrants and raise equity capital, the Company recognized the modification as an equity issuance. Accordingly, the impact of the modification, totaling $2,317, was recorded as an equity issuance cost. The New Warrants are exercisable for a period of two years from the date of issuance. </w:t>
      </w:r>
    </w:p>
    <w:p>
      <w:pPr>
        <w:pStyle w:val="TextBody"/>
        <w:bidi w:val="0"/>
        <w:spacing w:before="0" w:after="0"/>
        <w:ind w:left="1800" w:right="0" w:hanging="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20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2180" w:type="dxa"/>
            <w:tcBorders/>
            <w:vAlign w:val="center"/>
          </w:tcPr>
          <w:p>
            <w:pPr>
              <w:pStyle w:val="TableContents"/>
              <w:bidi w:val="0"/>
              <w:spacing w:before="0" w:after="283"/>
              <w:jc w:val="both"/>
              <w:rPr/>
            </w:pPr>
            <w:r>
              <w:rPr/>
              <w:t>Ordinary shares rights:</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Ordinary shares confer upon their holders the right to participate in the general meetings of the Company, to vote at such meetings (each share represents one vote), and to participate in any distribution of dividends or any other distribution of the Company’s property, including the distribution of surplus assets upon liquidation.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55"/>
        <w:gridCol w:w="3935"/>
      </w:tblGrid>
      <w:tr>
        <w:trPr/>
        <w:tc>
          <w:tcPr>
            <w:tcW w:w="1055" w:type="dxa"/>
            <w:tcBorders/>
            <w:vAlign w:val="center"/>
          </w:tcPr>
          <w:p>
            <w:pPr>
              <w:pStyle w:val="TableContents"/>
              <w:bidi w:val="0"/>
              <w:spacing w:before="0" w:after="283"/>
              <w:jc w:val="left"/>
              <w:rPr>
                <w:b/>
              </w:rPr>
            </w:pPr>
            <w:r>
              <w:rPr>
                <w:b/>
              </w:rPr>
              <w:t>NOTE 5:-</w:t>
            </w:r>
          </w:p>
        </w:tc>
        <w:tc>
          <w:tcPr>
            <w:tcW w:w="3935" w:type="dxa"/>
            <w:tcBorders/>
            <w:vAlign w:val="center"/>
          </w:tcPr>
          <w:p>
            <w:pPr>
              <w:pStyle w:val="TableContents"/>
              <w:bidi w:val="0"/>
              <w:spacing w:before="0" w:after="283"/>
              <w:jc w:val="both"/>
              <w:rPr>
                <w:b/>
              </w:rPr>
            </w:pPr>
            <w:r>
              <w:rPr>
                <w:b/>
              </w:rPr>
              <w:t>SHAREHOLDERS’ EQUITY (Cont.)</w:t>
            </w:r>
          </w:p>
        </w:tc>
      </w:tr>
    </w:tbl>
    <w:p>
      <w:pPr>
        <w:pStyle w:val="TextBody"/>
        <w:bidi w:val="0"/>
        <w:spacing w:before="0" w:after="0"/>
        <w:ind w:left="0" w:right="0" w:hanging="0"/>
        <w:jc w:val="left"/>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185"/>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1850" w:type="dxa"/>
            <w:tcBorders/>
            <w:vAlign w:val="center"/>
          </w:tcPr>
          <w:p>
            <w:pPr>
              <w:pStyle w:val="TableContents"/>
              <w:bidi w:val="0"/>
              <w:spacing w:before="0" w:after="283"/>
              <w:jc w:val="both"/>
              <w:rPr/>
            </w:pPr>
            <w:r>
              <w:rPr/>
              <w:t>Share option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authorized through its 2012 Share Option Plan the grant of options to officers, directors, advisors, management and other key employees of up to 5,012,,403 Ordinary shares. The options granted generally have a four-year or three-year vesting period and expire ten years after the date of grant. Options granted under the Company’s option plan that are cancelled or forfeited before expiration become available for future grant.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1,367,427 of the Company’s options were available for future grants.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options to employees and non-employees (including directors and consultants) under the Company’s option plan as of June 30, 2026, and changes during the six month period then ended are presented below:</w:t>
      </w:r>
    </w:p>
    <w:p>
      <w:pPr>
        <w:pStyle w:val="TextBody"/>
        <w:bidi w:val="0"/>
        <w:spacing w:before="0" w:after="0"/>
        <w:ind w:left="1701" w:right="0" w:hanging="567"/>
        <w:jc w:val="both"/>
        <w:rPr>
          <w:caps w:val="false"/>
          <w:smallCaps w:val="false"/>
        </w:rPr>
      </w:pPr>
      <w:r>
        <w:rPr>
          <w:caps w:val="false"/>
          <w:smallCaps w:val="false"/>
        </w:rPr>
        <w:t> </w:t>
      </w:r>
    </w:p>
    <w:tbl>
      <w:tblPr>
        <w:tblW w:w="8234" w:type="dxa"/>
        <w:jc w:val="left"/>
        <w:tblInd w:w="0" w:type="dxa"/>
        <w:tblLayout w:type="fixed"/>
        <w:tblCellMar>
          <w:top w:w="0" w:type="dxa"/>
          <w:left w:w="0" w:type="dxa"/>
          <w:bottom w:w="0" w:type="dxa"/>
          <w:right w:w="0" w:type="dxa"/>
        </w:tblCellMar>
      </w:tblPr>
      <w:tblGrid>
        <w:gridCol w:w="3335"/>
        <w:gridCol w:w="60"/>
        <w:gridCol w:w="65"/>
        <w:gridCol w:w="1064"/>
        <w:gridCol w:w="95"/>
        <w:gridCol w:w="60"/>
        <w:gridCol w:w="199"/>
        <w:gridCol w:w="796"/>
        <w:gridCol w:w="60"/>
        <w:gridCol w:w="60"/>
        <w:gridCol w:w="214"/>
        <w:gridCol w:w="856"/>
        <w:gridCol w:w="60"/>
        <w:gridCol w:w="60"/>
        <w:gridCol w:w="141"/>
        <w:gridCol w:w="1034"/>
        <w:gridCol w:w="7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life (years)</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2,937,808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8.69</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748,586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p>
        </w:tc>
        <w:tc>
          <w:tcPr>
            <w:tcW w:w="796" w:type="dxa"/>
            <w:tcBorders/>
            <w:shd w:fill="FFFFFF" w:val="clear"/>
            <w:vAlign w:val="center"/>
          </w:tcPr>
          <w:p>
            <w:pPr>
              <w:pStyle w:val="TableContents"/>
              <w:bidi w:val="0"/>
              <w:spacing w:before="0" w:after="283"/>
              <w:jc w:val="right"/>
              <w:rPr/>
            </w:pPr>
            <w:r>
              <w:rPr/>
              <w:t>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(46,743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p>
        </w:tc>
        <w:tc>
          <w:tcPr>
            <w:tcW w:w="796" w:type="dxa"/>
            <w:tcBorders/>
            <w:shd w:fill="FFFFFF" w:val="clear"/>
            <w:vAlign w:val="center"/>
          </w:tcPr>
          <w:p>
            <w:pPr>
              <w:pStyle w:val="TableContents"/>
              <w:bidi w:val="0"/>
              <w:spacing w:before="0" w:after="283"/>
              <w:jc w:val="right"/>
              <w:rPr/>
            </w:pPr>
            <w:r>
              <w:rPr/>
              <w:t>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(624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92.89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b/>
              </w:rPr>
            </w:pPr>
            <w:r>
              <w:rPr>
                <w:b/>
              </w:rPr>
              <w:t>Outstanding at end of period</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3,636,777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8.54</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Exercisable options</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pPr>
            <w:r>
              <w:rPr/>
              <w:t>1,524,936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p>
        </w:tc>
        <w:tc>
          <w:tcPr>
            <w:tcW w:w="796" w:type="dxa"/>
            <w:tcBorders/>
            <w:shd w:fill="FFFFFF" w:val="clear"/>
            <w:vAlign w:val="center"/>
          </w:tcPr>
          <w:p>
            <w:pPr>
              <w:pStyle w:val="TableContents"/>
              <w:bidi w:val="0"/>
              <w:spacing w:before="0" w:after="283"/>
              <w:jc w:val="right"/>
              <w:rPr/>
            </w:pPr>
            <w:r>
              <w:rPr/>
              <w:t>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1,367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7.97</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Vested and expected to vest</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3,636,777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8.54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 average grant date fair value of options granted during the six-month period ended June 30, 2026 and the year ended December 31, 2025 was $3.42 and $2.50,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share-based compensation expense recognized by the Company’s departments:</w:t>
      </w:r>
    </w:p>
    <w:p>
      <w:pPr>
        <w:pStyle w:val="TextBody"/>
        <w:bidi w:val="0"/>
        <w:spacing w:before="0" w:after="0"/>
        <w:ind w:left="1800" w:right="0" w:hanging="0"/>
        <w:jc w:val="both"/>
        <w:rPr>
          <w:caps w:val="false"/>
          <w:smallCaps w:val="false"/>
        </w:rPr>
      </w:pPr>
      <w:r>
        <w:rPr>
          <w:caps w:val="false"/>
          <w:smallCaps w:val="false"/>
        </w:rPr>
        <w:t> </w:t>
      </w:r>
    </w:p>
    <w:tbl>
      <w:tblPr>
        <w:tblW w:w="5496" w:type="dxa"/>
        <w:jc w:val="left"/>
        <w:tblInd w:w="0" w:type="dxa"/>
        <w:tblLayout w:type="fixed"/>
        <w:tblCellMar>
          <w:top w:w="0" w:type="dxa"/>
          <w:left w:w="0" w:type="dxa"/>
          <w:bottom w:w="0" w:type="dxa"/>
          <w:right w:w="0" w:type="dxa"/>
        </w:tblCellMar>
      </w:tblPr>
      <w:tblGrid>
        <w:gridCol w:w="3545"/>
        <w:gridCol w:w="60"/>
        <w:gridCol w:w="167"/>
        <w:gridCol w:w="670"/>
        <w:gridCol w:w="71"/>
        <w:gridCol w:w="71"/>
        <w:gridCol w:w="167"/>
        <w:gridCol w:w="670"/>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725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1,080</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Marketing and business development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158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410</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579</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1,385</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0" w:type="dxa"/>
            <w:tcBorders>
              <w:bottom w:val="double" w:sz="10" w:space="0" w:color="000000"/>
            </w:tcBorders>
            <w:shd w:fill="CCEEFF" w:val="clear"/>
            <w:tcMar>
              <w:bottom w:w="28" w:type="dxa"/>
            </w:tcMar>
            <w:vAlign w:val="center"/>
          </w:tcPr>
          <w:p>
            <w:pPr>
              <w:pStyle w:val="TableContents"/>
              <w:bidi w:val="0"/>
              <w:spacing w:before="0" w:after="283"/>
              <w:jc w:val="right"/>
              <w:rPr/>
            </w:pPr>
            <w:r>
              <w:rPr/>
              <w:t>1,462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0" w:type="dxa"/>
            <w:tcBorders>
              <w:bottom w:val="double" w:sz="10" w:space="0" w:color="000000"/>
            </w:tcBorders>
            <w:shd w:fill="CCEEFF" w:val="clear"/>
            <w:tcMar>
              <w:bottom w:w="28" w:type="dxa"/>
            </w:tcMar>
            <w:vAlign w:val="center"/>
          </w:tcPr>
          <w:p>
            <w:pPr>
              <w:pStyle w:val="TableContents"/>
              <w:bidi w:val="0"/>
              <w:spacing w:before="0" w:after="283"/>
              <w:jc w:val="right"/>
              <w:rPr/>
            </w:pPr>
            <w:r>
              <w:rPr/>
              <w:t>2,875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unrecognized compensation costs of $6,318, which are expected to be recognized over a weighted average period of approximately 2.83 years. </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701" w:right="0" w:hanging="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55"/>
        <w:gridCol w:w="3935"/>
      </w:tblGrid>
      <w:tr>
        <w:trPr/>
        <w:tc>
          <w:tcPr>
            <w:tcW w:w="1055" w:type="dxa"/>
            <w:tcBorders/>
            <w:vAlign w:val="center"/>
          </w:tcPr>
          <w:p>
            <w:pPr>
              <w:pStyle w:val="TableContents"/>
              <w:bidi w:val="0"/>
              <w:spacing w:before="0" w:after="283"/>
              <w:jc w:val="left"/>
              <w:rPr>
                <w:b/>
              </w:rPr>
            </w:pPr>
            <w:r>
              <w:rPr>
                <w:b/>
              </w:rPr>
              <w:t>NOTE 5:-</w:t>
            </w:r>
          </w:p>
        </w:tc>
        <w:tc>
          <w:tcPr>
            <w:tcW w:w="3935" w:type="dxa"/>
            <w:tcBorders/>
            <w:vAlign w:val="center"/>
          </w:tcPr>
          <w:p>
            <w:pPr>
              <w:pStyle w:val="TableContents"/>
              <w:bidi w:val="0"/>
              <w:spacing w:before="0" w:after="283"/>
              <w:jc w:val="both"/>
              <w:rPr>
                <w:b/>
              </w:rPr>
            </w:pPr>
            <w:r>
              <w:rPr>
                <w:b/>
              </w:rPr>
              <w:t>SHAREHOLDERS’ EQUITY (Cont.)</w:t>
            </w:r>
          </w:p>
        </w:tc>
      </w:tr>
    </w:tbl>
    <w:p>
      <w:pPr>
        <w:pStyle w:val="TextBody"/>
        <w:bidi w:val="0"/>
        <w:spacing w:before="0" w:after="0"/>
        <w:ind w:left="1701" w:right="0" w:hanging="567"/>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155"/>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950" w:type="dxa"/>
            <w:tcBorders/>
            <w:vAlign w:val="center"/>
          </w:tcPr>
          <w:p>
            <w:pPr>
              <w:pStyle w:val="TableContents"/>
              <w:bidi w:val="0"/>
              <w:spacing w:before="0" w:after="283"/>
              <w:jc w:val="both"/>
              <w:rPr/>
            </w:pPr>
            <w:r>
              <w:rPr/>
              <w:t>Warrants:</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all warrants, including the pre-funded warrants disclosed in Note 5c, are exercisable into Ordinary shares as follows:</w:t>
      </w:r>
    </w:p>
    <w:p>
      <w:pPr>
        <w:pStyle w:val="TextBody"/>
        <w:bidi w:val="0"/>
        <w:spacing w:before="0" w:after="0"/>
        <w:ind w:left="1701" w:right="0" w:hanging="1134"/>
        <w:jc w:val="both"/>
        <w:rPr>
          <w:caps w:val="false"/>
          <w:smallCaps w:val="false"/>
        </w:rPr>
      </w:pPr>
      <w:r>
        <w:rPr>
          <w:caps w:val="false"/>
          <w:smallCaps w:val="false"/>
        </w:rPr>
        <w:t> </w:t>
      </w:r>
    </w:p>
    <w:tbl>
      <w:tblPr>
        <w:tblW w:w="6923" w:type="dxa"/>
        <w:jc w:val="left"/>
        <w:tblInd w:w="0" w:type="dxa"/>
        <w:tblLayout w:type="fixed"/>
        <w:tblCellMar>
          <w:top w:w="0" w:type="dxa"/>
          <w:left w:w="0" w:type="dxa"/>
          <w:bottom w:w="28" w:type="dxa"/>
          <w:right w:w="0" w:type="dxa"/>
        </w:tblCellMar>
      </w:tblPr>
      <w:tblGrid>
        <w:gridCol w:w="1265"/>
        <w:gridCol w:w="60"/>
        <w:gridCol w:w="70"/>
        <w:gridCol w:w="1150"/>
        <w:gridCol w:w="60"/>
        <w:gridCol w:w="60"/>
        <w:gridCol w:w="125"/>
        <w:gridCol w:w="1184"/>
        <w:gridCol w:w="60"/>
        <w:gridCol w:w="60"/>
        <w:gridCol w:w="68"/>
        <w:gridCol w:w="1121"/>
        <w:gridCol w:w="60"/>
        <w:gridCol w:w="60"/>
        <w:gridCol w:w="1520"/>
      </w:tblGrid>
      <w:tr>
        <w:trPr/>
        <w:tc>
          <w:tcPr>
            <w:tcW w:w="1265" w:type="dxa"/>
            <w:tcBorders>
              <w:bottom w:val="single" w:sz="12" w:space="0" w:color="000000"/>
            </w:tcBorders>
            <w:vAlign w:val="center"/>
          </w:tcPr>
          <w:p>
            <w:pPr>
              <w:pStyle w:val="TableContents"/>
              <w:bidi w:val="0"/>
              <w:spacing w:before="0" w:after="283"/>
              <w:jc w:val="left"/>
              <w:rPr>
                <w:b/>
              </w:rPr>
            </w:pPr>
            <w:r>
              <w:rPr>
                <w:b/>
              </w:rPr>
              <w:t>Grant date</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Warrants</w:t>
              <w:br/>
              <w:t>outstanding</w:t>
              <w:br/>
              <w:t>as of</w:t>
              <w:b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12" w:space="0" w:color="000000"/>
            </w:tcBorders>
            <w:vAlign w:val="center"/>
          </w:tcPr>
          <w:p>
            <w:pPr>
              <w:pStyle w:val="TableContents"/>
              <w:bidi w:val="0"/>
              <w:spacing w:before="0" w:after="283"/>
              <w:jc w:val="center"/>
              <w:rPr>
                <w:b/>
              </w:rPr>
            </w:pPr>
            <w:r>
              <w:rPr>
                <w:b/>
              </w:rPr>
              <w:t>Average</w:t>
              <w:br/>
              <w:t>Exercise</w:t>
              <w:br/>
              <w:t xml:space="preserve">price </w:t>
              <w:br/>
              <w:t>per share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Warrants </w:t>
              <w:br/>
              <w:t xml:space="preserve">exercisable </w:t>
              <w:br/>
              <w:t xml:space="preserve">as of </w:t>
              <w:b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12" w:space="0" w:color="000000"/>
            </w:tcBorders>
            <w:vAlign w:val="center"/>
          </w:tcPr>
          <w:p>
            <w:pPr>
              <w:pStyle w:val="TableContents"/>
              <w:bidi w:val="0"/>
              <w:spacing w:before="0" w:after="283"/>
              <w:jc w:val="center"/>
              <w:rPr>
                <w:b/>
              </w:rPr>
            </w:pPr>
            <w:r>
              <w:rPr>
                <w:b/>
              </w:rPr>
              <w:t>Exercisable</w:t>
              <w:br/>
              <w:t>through</w:t>
            </w:r>
          </w:p>
        </w:tc>
      </w:tr>
      <w:tr>
        <w:trPr/>
        <w:tc>
          <w:tcPr>
            <w:tcW w:w="1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ind w:left="0" w:right="0" w:hanging="170"/>
              <w:jc w:val="center"/>
              <w:rPr/>
            </w:pPr>
            <w:r>
              <w:rPr/>
              <w:t> </w:t>
            </w:r>
          </w:p>
        </w:tc>
      </w:tr>
      <w:tr>
        <w:trPr/>
        <w:tc>
          <w:tcPr>
            <w:tcW w:w="1265" w:type="dxa"/>
            <w:tcBorders/>
            <w:shd w:fill="CCEEFF" w:val="clear"/>
            <w:tcMar>
              <w:bottom w:w="0" w:type="dxa"/>
            </w:tcMar>
            <w:vAlign w:val="center"/>
          </w:tcPr>
          <w:p>
            <w:pPr>
              <w:pStyle w:val="TableContents"/>
              <w:bidi w:val="0"/>
              <w:spacing w:before="0" w:after="283"/>
              <w:jc w:val="left"/>
              <w:rPr/>
            </w:pPr>
            <w:r>
              <w:rPr/>
              <w:t>April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5,193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12.60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5,193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ind w:left="0" w:right="0" w:hanging="170"/>
              <w:jc w:val="center"/>
              <w:rPr/>
            </w:pPr>
            <w:r>
              <w:rPr/>
              <w:t>April 2029</w:t>
            </w:r>
          </w:p>
        </w:tc>
      </w:tr>
      <w:tr>
        <w:trPr/>
        <w:tc>
          <w:tcPr>
            <w:tcW w:w="1265" w:type="dxa"/>
            <w:tcBorders/>
            <w:shd w:fill="FFFFFF" w:val="clear"/>
            <w:tcMar>
              <w:bottom w:w="0" w:type="dxa"/>
            </w:tcMar>
            <w:vAlign w:val="center"/>
          </w:tcPr>
          <w:p>
            <w:pPr>
              <w:pStyle w:val="TableContents"/>
              <w:bidi w:val="0"/>
              <w:spacing w:before="0" w:after="283"/>
              <w:jc w:val="left"/>
              <w:rPr/>
            </w:pPr>
            <w:r>
              <w:rPr/>
              <w:t>July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1,298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12.60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1,298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ind w:left="0" w:right="0" w:hanging="170"/>
              <w:jc w:val="center"/>
              <w:rPr/>
            </w:pPr>
            <w:r>
              <w:rPr/>
              <w:t>April 2029</w:t>
            </w:r>
          </w:p>
        </w:tc>
      </w:tr>
      <w:tr>
        <w:trPr/>
        <w:tc>
          <w:tcPr>
            <w:tcW w:w="1265" w:type="dxa"/>
            <w:tcBorders/>
            <w:shd w:fill="CCEEFF" w:val="clear"/>
            <w:tcMar>
              <w:bottom w:w="0" w:type="dxa"/>
            </w:tcMar>
            <w:vAlign w:val="center"/>
          </w:tcPr>
          <w:p>
            <w:pPr>
              <w:pStyle w:val="TableContents"/>
              <w:bidi w:val="0"/>
              <w:spacing w:before="0" w:after="283"/>
              <w:jc w:val="left"/>
              <w:rPr/>
            </w:pPr>
            <w:r>
              <w:rPr/>
              <w:t>April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3.61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ind w:left="0" w:right="0" w:hanging="170"/>
              <w:jc w:val="center"/>
              <w:rPr/>
            </w:pPr>
            <w:r>
              <w:rPr/>
              <w:t>August 2031</w:t>
            </w:r>
          </w:p>
        </w:tc>
      </w:tr>
      <w:tr>
        <w:trPr/>
        <w:tc>
          <w:tcPr>
            <w:tcW w:w="1265" w:type="dxa"/>
            <w:tcBorders/>
            <w:shd w:fill="FFFFFF" w:val="clear"/>
            <w:tcMar>
              <w:bottom w:w="0" w:type="dxa"/>
            </w:tcMar>
            <w:vAlign w:val="center"/>
          </w:tcPr>
          <w:p>
            <w:pPr>
              <w:pStyle w:val="TableContents"/>
              <w:bidi w:val="0"/>
              <w:spacing w:before="0" w:after="283"/>
              <w:jc w:val="left"/>
              <w:rPr/>
            </w:pPr>
            <w:r>
              <w:rPr/>
              <w:t>August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471,605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3.61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471,605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ind w:left="0" w:right="0" w:hanging="170"/>
              <w:jc w:val="center"/>
              <w:rPr/>
            </w:pPr>
            <w:r>
              <w:rPr/>
              <w:t>August 2026 *)</w:t>
            </w:r>
          </w:p>
        </w:tc>
      </w:tr>
      <w:tr>
        <w:trPr/>
        <w:tc>
          <w:tcPr>
            <w:tcW w:w="1265" w:type="dxa"/>
            <w:tcBorders/>
            <w:shd w:fill="CCEEFF" w:val="clear"/>
            <w:tcMar>
              <w:bottom w:w="0" w:type="dxa"/>
            </w:tcMar>
            <w:vAlign w:val="center"/>
          </w:tcPr>
          <w:p>
            <w:pPr>
              <w:pStyle w:val="TableContents"/>
              <w:bidi w:val="0"/>
              <w:spacing w:before="0" w:after="283"/>
              <w:jc w:val="left"/>
              <w:rPr/>
            </w:pPr>
            <w:r>
              <w:rPr/>
              <w:t>June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1150" w:type="dxa"/>
            <w:tcBorders>
              <w:bottom w:val="single" w:sz="12" w:space="0" w:color="000000"/>
            </w:tcBorders>
            <w:shd w:fill="CCEEFF" w:val="clear"/>
            <w:vAlign w:val="center"/>
          </w:tcPr>
          <w:p>
            <w:pPr>
              <w:pStyle w:val="TableContents"/>
              <w:bidi w:val="0"/>
              <w:spacing w:before="0" w:after="283"/>
              <w:jc w:val="right"/>
              <w:rPr/>
            </w:pPr>
            <w:r>
              <w:rPr/>
              <w:t>7,289,644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1121" w:type="dxa"/>
            <w:tcBorders>
              <w:bottom w:val="single" w:sz="12" w:space="0" w:color="000000"/>
            </w:tcBorders>
            <w:shd w:fill="CCEEFF" w:val="clear"/>
            <w:vAlign w:val="center"/>
          </w:tcPr>
          <w:p>
            <w:pPr>
              <w:pStyle w:val="TableContents"/>
              <w:bidi w:val="0"/>
              <w:spacing w:before="0" w:after="283"/>
              <w:jc w:val="right"/>
              <w:rPr/>
            </w:pPr>
            <w:r>
              <w:rPr/>
              <w:t>7,289,644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ind w:left="0" w:right="0" w:hanging="170"/>
              <w:jc w:val="center"/>
              <w:rPr/>
            </w:pPr>
            <w:r>
              <w:rPr/>
              <w:t>June 2027 *)</w:t>
            </w:r>
          </w:p>
        </w:tc>
      </w:tr>
      <w:tr>
        <w:trPr/>
        <w:tc>
          <w:tcPr>
            <w:tcW w:w="12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ind w:left="0" w:right="0" w:hanging="170"/>
              <w:jc w:val="center"/>
              <w:rPr/>
            </w:pPr>
            <w:r>
              <w:rPr/>
              <w:t> </w:t>
            </w:r>
          </w:p>
        </w:tc>
      </w:tr>
      <w:tr>
        <w:trPr/>
        <w:tc>
          <w:tcPr>
            <w:tcW w:w="12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double" w:sz="10" w:space="0" w:color="000000"/>
            </w:tcBorders>
            <w:shd w:fill="CCEEFF" w:val="clear"/>
            <w:vAlign w:val="center"/>
          </w:tcPr>
          <w:p>
            <w:pPr>
              <w:pStyle w:val="TableContents"/>
              <w:bidi w:val="0"/>
              <w:spacing w:before="0" w:after="283"/>
              <w:jc w:val="left"/>
              <w:rPr/>
            </w:pPr>
            <w:r>
              <w:rPr/>
              <w:t> </w:t>
            </w:r>
          </w:p>
        </w:tc>
        <w:tc>
          <w:tcPr>
            <w:tcW w:w="1150" w:type="dxa"/>
            <w:tcBorders>
              <w:bottom w:val="double" w:sz="10" w:space="0" w:color="000000"/>
            </w:tcBorders>
            <w:shd w:fill="CCEEFF" w:val="clear"/>
            <w:vAlign w:val="center"/>
          </w:tcPr>
          <w:p>
            <w:pPr>
              <w:pStyle w:val="TableContents"/>
              <w:bidi w:val="0"/>
              <w:spacing w:before="0" w:after="283"/>
              <w:jc w:val="right"/>
              <w:rPr/>
            </w:pPr>
            <w:r>
              <w:rPr/>
              <w:t>7,807,740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double" w:sz="10" w:space="0" w:color="000000"/>
            </w:tcBorders>
            <w:shd w:fill="CCEEFF" w:val="clear"/>
            <w:vAlign w:val="center"/>
          </w:tcPr>
          <w:p>
            <w:pPr>
              <w:pStyle w:val="TableContents"/>
              <w:bidi w:val="0"/>
              <w:spacing w:before="0" w:after="283"/>
              <w:jc w:val="left"/>
              <w:rPr/>
            </w:pPr>
            <w:r>
              <w:rPr/>
              <w:t> </w:t>
            </w:r>
          </w:p>
        </w:tc>
        <w:tc>
          <w:tcPr>
            <w:tcW w:w="1121" w:type="dxa"/>
            <w:tcBorders>
              <w:bottom w:val="double" w:sz="10" w:space="0" w:color="000000"/>
            </w:tcBorders>
            <w:shd w:fill="CCEEFF" w:val="clear"/>
            <w:vAlign w:val="center"/>
          </w:tcPr>
          <w:p>
            <w:pPr>
              <w:pStyle w:val="TableContents"/>
              <w:bidi w:val="0"/>
              <w:spacing w:before="0" w:after="283"/>
              <w:jc w:val="right"/>
              <w:rPr/>
            </w:pPr>
            <w:r>
              <w:rPr/>
              <w:t>7,807,740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113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See Note 5c for warrants and pre-funded warrants that were exercised during the six-month period ended June 30, 2026.</w:t>
            </w:r>
          </w:p>
        </w:tc>
      </w:tr>
    </w:tbl>
    <w:p>
      <w:pPr>
        <w:pStyle w:val="TextBody"/>
        <w:bidi w:val="0"/>
        <w:spacing w:before="0" w:after="0"/>
        <w:ind w:left="2268" w:right="0" w:hanging="567"/>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1055"/>
        <w:gridCol w:w="4700"/>
      </w:tblGrid>
      <w:tr>
        <w:trPr/>
        <w:tc>
          <w:tcPr>
            <w:tcW w:w="1055" w:type="dxa"/>
            <w:tcBorders/>
            <w:vAlign w:val="center"/>
          </w:tcPr>
          <w:p>
            <w:pPr>
              <w:pStyle w:val="TableContents"/>
              <w:bidi w:val="0"/>
              <w:spacing w:before="0" w:after="283"/>
              <w:jc w:val="left"/>
              <w:rPr>
                <w:b/>
              </w:rPr>
            </w:pPr>
            <w:r>
              <w:rPr>
                <w:b/>
              </w:rPr>
              <w:t>NOTE 6:-</w:t>
            </w:r>
          </w:p>
        </w:tc>
        <w:tc>
          <w:tcPr>
            <w:tcW w:w="4700" w:type="dxa"/>
            <w:tcBorders/>
            <w:vAlign w:val="center"/>
          </w:tcPr>
          <w:p>
            <w:pPr>
              <w:pStyle w:val="TableContents"/>
              <w:bidi w:val="0"/>
              <w:spacing w:before="0" w:after="283"/>
              <w:jc w:val="both"/>
              <w:rPr>
                <w:b/>
              </w:rPr>
            </w:pPr>
            <w:r>
              <w:rPr>
                <w:b/>
              </w:rPr>
              <w:t>BASIC AND DILUTED LOSS PER SHARE</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Ordinary shares that were excluded from the computation of diluted loss per share attributable to shareholders for the periods presented because including them would have been anti-dilutive are as follows:</w:t>
      </w:r>
    </w:p>
    <w:p>
      <w:pPr>
        <w:pStyle w:val="TextBody"/>
        <w:bidi w:val="0"/>
        <w:spacing w:before="0" w:after="0"/>
        <w:ind w:left="1134" w:right="0" w:hanging="0"/>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2195"/>
        <w:gridCol w:w="60"/>
        <w:gridCol w:w="73"/>
        <w:gridCol w:w="1205"/>
        <w:gridCol w:w="73"/>
        <w:gridCol w:w="73"/>
        <w:gridCol w:w="73"/>
        <w:gridCol w:w="1353"/>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4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Ordinary shares</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426"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Ordinary share options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1,524,936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581,607</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7,807,740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FFFFFF" w:val="clear"/>
            <w:tcMar>
              <w:bottom w:w="28" w:type="dxa"/>
            </w:tcMar>
            <w:vAlign w:val="center"/>
          </w:tcPr>
          <w:p>
            <w:pPr>
              <w:pStyle w:val="TableContents"/>
              <w:bidi w:val="0"/>
              <w:spacing w:before="0" w:after="283"/>
              <w:jc w:val="right"/>
              <w:rPr/>
            </w:pPr>
            <w:r>
              <w:rPr/>
              <w:t>10,530,784</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9,332,676</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53" w:type="dxa"/>
            <w:tcBorders>
              <w:bottom w:val="double" w:sz="10" w:space="0" w:color="000000"/>
            </w:tcBorders>
            <w:shd w:fill="FFFFFF" w:val="clear"/>
            <w:tcMar>
              <w:bottom w:w="28" w:type="dxa"/>
            </w:tcMar>
            <w:vAlign w:val="center"/>
          </w:tcPr>
          <w:p>
            <w:pPr>
              <w:pStyle w:val="TableContents"/>
              <w:bidi w:val="0"/>
              <w:spacing w:before="0" w:after="283"/>
              <w:jc w:val="right"/>
              <w:rPr/>
            </w:pPr>
            <w:r>
              <w:rPr/>
              <w:t>11,112,391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- 16 -</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1010"/>
        <w:gridCol w:w="2645"/>
      </w:tblGrid>
      <w:tr>
        <w:trPr/>
        <w:tc>
          <w:tcPr>
            <w:tcW w:w="1010" w:type="dxa"/>
            <w:tcBorders/>
            <w:vAlign w:val="center"/>
          </w:tcPr>
          <w:p>
            <w:pPr>
              <w:pStyle w:val="TableContents"/>
              <w:bidi w:val="0"/>
              <w:spacing w:before="0" w:after="283"/>
              <w:jc w:val="left"/>
              <w:rPr/>
            </w:pPr>
            <w:r>
              <w:rPr/>
              <w:t>NOTE 7:-</w:t>
            </w:r>
          </w:p>
        </w:tc>
        <w:tc>
          <w:tcPr>
            <w:tcW w:w="2645" w:type="dxa"/>
            <w:tcBorders/>
            <w:vAlign w:val="center"/>
          </w:tcPr>
          <w:p>
            <w:pPr>
              <w:pStyle w:val="TableContents"/>
              <w:bidi w:val="0"/>
              <w:spacing w:before="0" w:after="283"/>
              <w:jc w:val="both"/>
              <w:rPr/>
            </w:pPr>
            <w:r>
              <w:rPr/>
              <w:t>SUBSEQUENT EVENTS</w:t>
            </w:r>
          </w:p>
        </w:tc>
      </w:tr>
    </w:tbl>
    <w:p>
      <w:pPr>
        <w:pStyle w:val="TextBody"/>
        <w:bidi w:val="0"/>
        <w:spacing w:before="0" w:after="0"/>
        <w:ind w:left="1134" w:right="0" w:hanging="11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Further to the discussion in Note 5b, during July 2026, the Company sold 153,140 Ordinary shares under the ATM for a total amount of $780, net of issuance costs.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Further to the discussion in Note 5c, during July 2026, 398,961 August 2024 Warrants were exercised to 398,961 Ordinary shares for a total amount of $1,440. In August 2026, the remaining 72,714 August 2024 Warrants expired.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On July 17, 2026 (the “Effective Date”), the Company entered into a License and Supply Agreement (the “Agreement”) with Azurity Pharmaceuticals Ireland Ltd. (“Azurity”), pursuant to which the Company granted the exclusive right to Azurity to commercialize the Company’s product D-PLEX</w:t>
            </w:r>
            <w:r>
              <w:rPr>
                <w:position w:val="-2"/>
                <w:sz w:val="19"/>
              </w:rPr>
              <w:t>100</w:t>
            </w:r>
            <w:r>
              <w:rPr/>
              <w:t xml:space="preserve"> (the “Product”) in the United States of America and Canada.</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Under the terms of the Agreement, the Company received an upfront payment of $15,000 due upon the execution of the Agreement and achieved the near-term milestone of FDA acceptance of the Product NDA (which happened in July 2026) required for an additional payment of $15,000.</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The Company is eligible to receive over $290,000 in additional regulatory, development and sales-based milestone payments. Upon commercialization, the Company will manufacture and supply the Product to Azurity for a transfer price and will be entitled to tiered royalties ranging from mid-teen to mid-twenties percentages.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- 17 -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 w:name="ea030023101ex99-2.htm"/>
      <w:bookmarkStart w:id="10" w:name="ksea030023101ex992"/>
      <w:bookmarkEnd w:id="9"/>
      <w:bookmarkEnd w:id="10"/>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righ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MANAGEMENT’S DISCUSSION AND ANALYSIS OF</w:t>
        <w:br/>
        <w:t>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 and for the Six Months then 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Statement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included herein may be deemed to be “forward-looking statements” within the meaning of the Private Securities Litigation Reform Act of 1995 and other securities laws. Forward-looking statements are often characterized by the use of forward-looking terminology such as “may,” “will,” “expect,” “anticipate,” “estimate,” “continue,” “believe,” “should,” “intend,” “project” or other similar words, but are not the only way these statements are identified.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developments and business decisions to differ materially from those anticipated in these forward-looking statements include,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ability to successfully receive approvals from the U.S. Food and Drug Administration, or FDA, the European Medicines Agency, or other applicable regulatory bodies, including approval to conduct clinical trials, the scope of those trials and the prospects for regulatory approval of, or other regulatory action with respect to our product candidates, including the regulatory pathway to be designated to our product candidates;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raise capital through the issuance of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advance the development of our product candidates, including the anticipated starting and ending dates of our anticipated clinical trials;</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assessment of the potential of our product candidates to treat certain indications;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dependence on enrollment of patients in our clinical trials to continue development of our product candidates;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regulatory environment and changes in the health policies and regimes in the countries in which we operate, including the impact of any changes in regulation and legislation that could affect the pharmaceutical industry;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license and commercialize our existing product candidates and future sales of our existing product candidates or any other future potential product candidates;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dependence on collaboration agreements with third parties to market and sell our product candidates;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w:t>
            </w:r>
            <w:r>
              <w:rPr/>
              <w:t>our potential to receive future payments under our Agreement (as defined below) with Azurity (as defined below);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prioritize development of certain product candidates over other potential candidates;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meet our expectations regarding the commercial supply of our product candidates;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overall global economic environment;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impact of competition and new technologies;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general market, political and economic conditions in the countries in which we operate;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projected capital expenditures and liquidity;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changes in our strategy;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litigation.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is intended to identify only certain of the principal factors that could cause actual results to differ. For a more detailed description of the risks and uncertainties affecting our company, reference is made to our Annual Report on Form 20-F for the year ended December 31, 2025, or our Annual Report, which was filed with the Securities and Exchange Commission, or the SEC, on February 25, 2026, and the other risk factors discussed from time to time by our company in reports filed or furnished to the SEC.</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we undertake no obligation to publicly release any revisions to these forward-looking statements to reflect events or circumstances after the date hereof or to reflect the occurrence of unanticipated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references to “Company,” “we,” “our” and “PolyPid” refer to PolyPid Ltd., its wholly owned subsidiaries, PolyPid Inc., a Delaware corporation, and PolyPid Pharma SRL, a company organized and existing under the laws of Romania. References to “U.S. dollars” and “$” are to currency of the United States of America, and references to “shekel,” “Israeli shekel” and “NIS” are to New Israeli Shekels. References to “Ordinary Shares” are to our Ordinary Shares, no par value. We report our financial statements in accordance with generally accepted accounting principles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discussion and analysis of our financial condition and results of operations should be read in conjunction with our consolidated financial statements and the related notes included in our Annual Report, as well as our unaudited condensed consolidated financial statements and the related notes thereto for the six months ended June 30, 2026, included elsewhere in this Report on Form 6-K. The discussion below contains forward-looking statements that are based upon our current expectations and are subject to uncertainty and changes in circumstances. Actual results may differ materially from these expectations due to inaccurate assumptions and known or unknown risks and uncertainties.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2008, we have incurred significant operating losses. Our operating losses for the six months ended June 30, 2025 and 2026 were $16,982 thousand and $15,609 thousand, respectively. As of June 30, 2026, we had an accumulated deficit of $317,077 thousand. We expect to continue to incur significant expenses and operating losses for the foreseeable future, and our losses may fluctuate significantly from year to year. We anticipate we will continue to incur expenses in connection with our ongoing activities, as we: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continue clinical development of D-PLEX</w:t>
            </w:r>
            <w:r>
              <w:rPr>
                <w:position w:val="-2"/>
                <w:sz w:val="16"/>
                <w:sz w:val="20"/>
              </w:rPr>
              <w:t>100</w:t>
            </w:r>
            <w:r>
              <w:rPr/>
              <w:t xml:space="preserve">;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seeking regulatory approval for D-PLEX</w:t>
            </w:r>
            <w:r>
              <w:rPr>
                <w:position w:val="-2"/>
                <w:sz w:val="16"/>
                <w:sz w:val="20"/>
              </w:rPr>
              <w:t>100</w:t>
            </w:r>
            <w:r>
              <w:rPr/>
              <w:t xml:space="preserve"> pursuant to the FDA’s Section 505(b)(2) regulatory pathway in the United States and the hybrid application pathway in the European Union;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continue to invest in the preclinical research and development of OncoPLEX and any other future product candidates;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continue to invest in our manufacturing facility and complete commercial process validation for the facility;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establish commercial infrastructure to support the marketing, sale and distribution of D-PLEX</w:t>
            </w:r>
            <w:r>
              <w:rPr>
                <w:position w:val="-2"/>
                <w:sz w:val="19"/>
              </w:rPr>
              <w:t>100</w:t>
            </w:r>
            <w:r>
              <w:rPr/>
              <w:t> if it receives regulatory approval;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hire additional research and development and general and administrative personnel to support our operations;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maintain, expand and protect our intellectual property portfolio;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incur additional costs associated with operating as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product candidates approved for sale and have not generated any revenue from product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Comparison of the Six months Ended June 30, 2025 and 2026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six months ended June 30, 2025 and 2026:</w:t>
      </w:r>
    </w:p>
    <w:p>
      <w:pPr>
        <w:pStyle w:val="TextBody"/>
        <w:bidi w:val="0"/>
        <w:spacing w:before="0" w:after="0"/>
        <w:ind w:left="0" w:right="0" w:firstLine="720"/>
        <w:jc w:val="both"/>
        <w:rPr>
          <w:caps w:val="false"/>
          <w:smallCaps w:val="false"/>
        </w:rPr>
      </w:pPr>
      <w:r>
        <w:rPr>
          <w:caps w:val="false"/>
          <w:smallCaps w:val="false"/>
        </w:rPr>
        <w:t> </w:t>
      </w:r>
    </w:p>
    <w:tbl>
      <w:tblPr>
        <w:tblW w:w="5593" w:type="dxa"/>
        <w:jc w:val="left"/>
        <w:tblInd w:w="0" w:type="dxa"/>
        <w:tblLayout w:type="fixed"/>
        <w:tblCellMar>
          <w:top w:w="0" w:type="dxa"/>
          <w:left w:w="0" w:type="dxa"/>
          <w:bottom w:w="0" w:type="dxa"/>
          <w:right w:w="0" w:type="dxa"/>
        </w:tblCellMar>
      </w:tblPr>
      <w:tblGrid>
        <w:gridCol w:w="3545"/>
        <w:gridCol w:w="60"/>
        <w:gridCol w:w="149"/>
        <w:gridCol w:w="726"/>
        <w:gridCol w:w="64"/>
        <w:gridCol w:w="64"/>
        <w:gridCol w:w="149"/>
        <w:gridCol w:w="726"/>
        <w:gridCol w:w="110"/>
      </w:tblGrid>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12,332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11,881</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Marketing and business development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989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873</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3,661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2,855</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16,982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15,609</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512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Financial expenses (income), net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687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110" w:type="dxa"/>
            <w:tcBorders/>
            <w:shd w:fill="FFFFFF" w:val="clear"/>
            <w:vAlign w:val="center"/>
          </w:tcPr>
          <w:p>
            <w:pPr>
              <w:pStyle w:val="TableContents"/>
              <w:bidi w:val="0"/>
              <w:spacing w:before="0" w:after="283"/>
              <w:jc w:val="left"/>
              <w:rPr/>
            </w:pPr>
            <w:r>
              <w:rPr/>
              <w:t>)</w:t>
            </w:r>
          </w:p>
        </w:tc>
      </w:tr>
      <w:tr>
        <w:trPr/>
        <w:tc>
          <w:tcPr>
            <w:tcW w:w="3545" w:type="dxa"/>
            <w:tcBorders/>
            <w:shd w:fill="CCEEFF" w:val="clear"/>
            <w:vAlign w:val="center"/>
          </w:tcPr>
          <w:p>
            <w:pPr>
              <w:pStyle w:val="TableContents"/>
              <w:bidi w:val="0"/>
              <w:spacing w:before="0" w:after="283"/>
              <w:jc w:val="left"/>
              <w:rPr/>
            </w:pPr>
            <w:r>
              <w:rPr/>
              <w:t>Loss before income tax</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18,181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15,571</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64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shd w:fill="CCEEFF" w:val="clear"/>
            <w:tcMar>
              <w:bottom w:w="28" w:type="dxa"/>
            </w:tcMar>
            <w:vAlign w:val="center"/>
          </w:tcPr>
          <w:p>
            <w:pPr>
              <w:pStyle w:val="TableContents"/>
              <w:bidi w:val="0"/>
              <w:spacing w:before="0" w:after="283"/>
              <w:jc w:val="right"/>
              <w:rPr/>
            </w:pPr>
            <w:r>
              <w:rPr/>
              <w:t>18,245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shd w:fill="CCEEFF" w:val="clear"/>
            <w:tcMar>
              <w:bottom w:w="28" w:type="dxa"/>
            </w:tcMar>
            <w:vAlign w:val="center"/>
          </w:tcPr>
          <w:p>
            <w:pPr>
              <w:pStyle w:val="TableContents"/>
              <w:bidi w:val="0"/>
              <w:spacing w:before="0" w:after="283"/>
              <w:jc w:val="right"/>
              <w:rPr/>
            </w:pPr>
            <w:r>
              <w:rPr/>
              <w:t>15,577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decreased by $0.5 million for the six months ended June 30, 2026, compared to the six months ended June 30, 2025. This decrease was primarily related to a decrease of $4.4 million in costs related to the completed SHIELD II phase 3 trial and a decrease of $0.4 million in non-cash share-based compensation, offset by an increase of $2.7 million in costs related to New Drug Application, or NDA, submission and preparation for the FDA pre-launch audit and an increase of $1.6 million in personnel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Marketing and business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business development decreased by $0.1 million for the six months ended June 30, 2026, compared to the six months ended June 30, 2025. This decrease was primarily related to a decrease of $0.3 million in personnel costs and non-cash share-based compensation, offset by an increase of $0.2 million in business development and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General and Administrative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decreased by $0.8 million for the six months ended June 30, 2026, compared to the six months ended June 30, 2025. This decrease was primarily related to a decrease in non-cash share-based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debt</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decreased by $0.5 million for the six months ended June 30, 2026, compared to the six months ended June 30, 2025. This decrease was related to the January 2025 amendment to the Company’s loan with Kreos Capital VI (Expert Fund) LP, or Kreos.</w:t>
      </w:r>
    </w:p>
    <w:p>
      <w:pPr>
        <w:pStyle w:val="TextBody"/>
        <w:bidi w:val="0"/>
        <w:spacing w:before="0" w:after="0"/>
        <w:ind w:left="200" w:right="0" w:hanging="200"/>
        <w:jc w:val="left"/>
        <w:rPr>
          <w:caps w:val="false"/>
          <w:smallCaps w:val="false"/>
        </w:rPr>
      </w:pPr>
      <w:r>
        <w:rPr>
          <w:caps w:val="false"/>
          <w:smallCaps w:val="false"/>
        </w:rPr>
        <w:t> </w:t>
      </w:r>
    </w:p>
    <w:p>
      <w:pPr>
        <w:pStyle w:val="TextBody"/>
        <w:bidi w:val="0"/>
        <w:spacing w:before="0" w:after="0"/>
        <w:ind w:left="200" w:right="0" w:hanging="20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Financial Expenses, Net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 (income), net decreased by $0.7 million for the six months ended June 30, 2026, compared to the six months ended June 30, 2025. This decrease was primarily related to a decrease in interest expenses related to the loan with Kreos due to the repayment of the loan.</w:t>
      </w:r>
    </w:p>
    <w:p>
      <w:pPr>
        <w:pStyle w:val="TextBody"/>
        <w:bidi w:val="0"/>
        <w:spacing w:before="0" w:after="0"/>
        <w:ind w:left="200" w:right="0" w:firstLine="52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Net loss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decreased by $2.7 million for the six months ended June 30, 2026, compared to the six months ended June 30, 2025. This decrease was primarily related to the decrease in research and development of $0.5 million, a decrease in general and administrative of $0.8 million, a decrease of $0.1 in marketing and business development costs, a decrease of $0.5 million in loss on extinguishment of debt, and a decrease in financial expense (income), net of $0.7 million.</w:t>
      </w:r>
    </w:p>
    <w:p>
      <w:pPr>
        <w:pStyle w:val="TextBody"/>
        <w:bidi w:val="0"/>
        <w:spacing w:before="0" w:after="0"/>
        <w:ind w:left="0" w:right="0" w:firstLine="20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Qualitative and Quantitative Disclosures about Market Risk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Foreign Currency Exchange Risk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primarily in Israel, and approximately 67% of our expenses are denominated in NIS. We are therefore exposed to market risk, which represents the risk of loss that may impact our financial position due to adverse changes in financial market prices and rates. We are subject to fluctuations in foreign currency rates in connection with these arrangements. Changes of 5% and 10% in the U.S. dollar/NIS exchange rate would have increased/decreased operating expenses by approximately 1.1% and 2.2%, respectively,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a strengthening of the NIS against the U.S. dollar would increase the U.S. dollar value of our NIS-denominated operating expenses, including payroll and other local operating costs, and could adversely affect our gross margin and operating results. During periods in which the NIS appreciates relative to the U.S. dollar, our expenses may increase in U.S. dollar terms even if the underlying NIS-denominated costs remain unchanged. Conversely, a weakening of the NIS relative to the U.S. dollar would reduce the U.S. dollar value of such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partially hedge our foreign currency exchange rate risk to decrease the risk of financial exposure from fluctuations in the exchange rates of our principal operating currencies. These measures, however, may not adequately protect us from the material adverse effects of such fluctuations.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Interest Rate Risk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our investments consist primarily of cash and cash equivalents and short-term deposits. We may invest in investment-grade marketable securities with maturities of up to three years, including commercial paper, money market funds, and government/non-government debt securities. The primary objective of our investment activities is to preserve principal while maximizing the income that we receive from our investments without significantly increasing risk and loss. Our investments may be exposed to market risk due to fluctuation in interest rates, which may affect our interest income and the fair market value of our investments,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Inflation-Related Risks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generally affects us by increasing our NIS-denominated expenses, including salaries and benefits, as well as facility rental costs and payment to local suppliers. We do not believe that inflation had a material effect on our business, financial condition or results of operations during the six months ended June 30, 2026, but we continue to monitor these closely.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not generated any revenue and have incurred operating losses and negative cash flows from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2022, we entered into a loan agreement, or the Loan Agreement, for up to $15 million with Kreos. The Loan Agreement was comprised of three tranches in the amount of $10 million, $2.5 million and $2.5 million, respectively. Drawdown of the first tranche was available upon the execution of the Loan Agreement. The second tranche of $2.5 million was available after we met the second tranche milestone in May 2022. The third and final tranche of $2.5 million was not drawn since the third tranche milestone had not been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tranche in the amount of $10 million was drawn on April 26, 2022. The issuance costs due to the Loan Agreement amounted to $0.2 million and the second tranche in the amount of $2.5 million was drawn on July 19,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provided for interest-only repayments of the first tranche until December 31, 2022, followed by 36 equal monthly repayments of principal and interest. For the second tranche, the Loan Agreement provided for repayments of interest only until August 31, 2023, followed by 33 equal monthly repayments of principal and interest. The senior secured loan initially had interest at a rate of 9.25%. The loan was prepayable in full, at any time at our option. The loan was secured by our owned equipment, intellectual property and all shares we hold in PolyPid Inc. and PolyPid Pharma SRL, and we paid a customary fee to Kreos for the establishment of the loan. Additionally, PolyPid Inc. entered into a guaranty agreement with Kreos, all as security for monies borrowed by us under the Loan Agreement. On March 29, 2023, we entered into an amendment to the Loan Agreement. Pursuant to this amendment, 70% of the remaining principal and interest repayments was to be delayed and repaid on a monthly equal basis from August 2024 to May 2026. The amended secured loan had interest at a rate of 10.00%, and a restructuring fee to Kreos consisting of 1.00% on close of the amendment and an incremental 3.00% at maturity. In return for this additional deferral of repayment, Kreos had the right to receive a potential claw back payment on account of the then outstanding principal amount. This claw back mechanism was to be triggered by additional incoming funds from future partnership agreement or additional financing. If triggered, the minimum claw back to be paid was $1.5 million but would not exceed $3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Loan Agreement, we issued to Kreos a 7-year warrant to purchase 6,491 of our Ordinary Shares with an exercise price of $154.05 per share. Pursuant to the March 2023 amendment, the outstanding warrants Kreos received were repriced to have an exercise price of $12.60 per share. The expiration date for each warrant issued is seven years from the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we entered into a second amendment to the Loan Agreement. Pursuant to this second amendment, 60% of the remaining principal and interest repayments under the Loan Agreement was to be delayed and repaid on a monthly equal basis from April 1, 2025. The amended secured loan bore interest at a rate of 12.00%. We paid Kreos an additional $125,000 as a restructuring fee. The claw back to be paid was not to exceed $4.5 million, out of which $4.0 million was already paid. As part of the second amendment, we issued to Kreos a warrant to purchase 40,000 Ordinary Shares of the Company at an exercise price of $3.61 per share. Following the execution of the second amendment, Kreos holds warrants to purchase a total of 46,491 Ordinary Shares of the Company, as follows: (i) 6,491 shares at an exercise price of $12.60 per share and (ii) 40,000 shares at an exercise price of $3.61 per share. The expiration date for each warrant issued is seven years from the respective issuance date. On January 6, 2025, we entered into a third amendment to the Loan Agreement. Pursuant to this third amendment, 60% of the principal and interest repayments which are originally scheduled to be paid until the end of June 2025, were delayed and paid in July 2025. We paid a restructuring fee to Kreos of $160,000 and the end of loan payment was increased from 5% to 7%. The outstanding loan balance was fully repaid in May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entered into a definitive securities purchase agreement for a private placement financing, pursuant to which we sold 3,143,693 Ordinary Shares at a purchase price of $4.81 per share, 227,619 pre-funded warrants at a purchase price of $4.81 per warrant with an exercise price of $0.0001 per share and warrants to purchase up to 3,371,312 Ordinary Shares at an exercise price of $5.50 per share, or the January 2024 Warrants. The pre-funded warrants do not expire and the warrants would expire upon the earlier of two years from the date of issuance and 10 trading days following our announcement of the positive recommendation by the Data Safety Monitoring Board, or the DSMB, regarding our unblinded interim analysis in our SHIELD II Phase 3 trial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resulting in the stopping of the trial due to positive efficacy. The offering resulted in gross proceeds of $16.2 million. We used the net proceeds from the sale of the securities for our ongoing SHIELD II phase 3 clinical trial, working capital and general corporate purposes. On May 20, 2025, the 227,619 pre-funded warrants were exercised to 227,619 Ordinary Shares. On June 16, 2025, 2,190,121 January 2024 Warrants were exercised as part of the Inducement Letter, as defined below, and during January 2026 the remaining 1,181,191 January 2024 Warrants expired.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we entered into a definitive securities purchase agreement, pursuant to which we sold 2,006,226 of our Ordinary Shares, at a purchase price of $3.61 per share, 229,231 pre-funded warrants with an exercise price of $0.0001 per share at a purchase price of $3.61 per warrant and warrants to purchase up to 1,676,588 Ordinary Shares at an exercise price of $3.61 per share, or the August 2024 Warrants. The pre-funded warrants do not expire and the warrants expire upon the earlier of two years from the date of issuance and 10 trading days following our announcement of the recommendation by the DSMB regarding our unblinded interim analysis in its SHIELD II Phase 3 trial of D-PLEX100 resulting in either the stopping of the trial due to positive efficacy, or continuation to planned patient recruitment (up to 630 subjects). The offering resulted in gross proceeds of $8.1 million. We used the net proceeds from the sale of the securities for our working capital and general corporate purposes. In June 2025, the 229,231 pre-funded warrants were exercised to 229,230 Ordinary Shares. Between January to June 2026 1,204,983 August 2024 Warrants were exercised to 1,204,983 Ordinary Shares for a total amount of $4.4 million. During July 2026, 398,961 August 2024 Warrants were exercised to 398,961 Ordinary Shares for a total amount of $1.4 million. During August 2026, the remaining 72,714 August 2024 Warrants expired.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we entered into a Sales Agreement, or the New Sales Agreement, with Oppenheimer &amp; Co. Inc., or the Sales Agent, pursuant to which we may offer and sell, from time to time, through the Sales Agent, up to $8,250,000 of our Ordinary Shares. Effective November 26, 2025, we filed a prospectus supplement to increase the maximum aggregate offering price under the New Sales Agreement from $8,250,000 to $15,000,000. During the six months ended June 30, 2026, we sold 796,581 Ordinary Shares under the New Sales Agreement for a total amount of $3.7 million , net of issuance costs.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entered into a definitive securities purchase agreement, pursuant to which we sold 3,386,962 of our Ordinary Shares, at a purchase price of $3.22 per share, 1,106,868 pre-funded warrants with an exercise price of $0.0001 per share at a purchase price of $3.22 per share and warrants to purchase up to 6,740,745 Ordinary Shares at an exercise price of $4.00 per share, or the December 2024 Warrants. The pre-funded warrants do not expire and the December 2024 Warrants would expire upon the earlier of nine months from the date of issuance and 10 trading days following our announcement of the top-line results in our SHIELD II Phase 3 trial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The offering resulted in gross proceeds of $14.5 million. On June 16, 2025, 5,436,393 December 2024 Warrants were exercised as part of the Inducement Letter, as defined below, and on June 23, 2025, 10 trading days following the Company’s announcement of the top-line results in the Company’s SHIELD II Phase 3 trial of D-PLEX</w:t>
      </w:r>
      <w:r>
        <w:rPr>
          <w:rFonts w:ascii="Times New Roman;Times;Serif" w:hAnsi="Times New Roman;Times;Serif"/>
          <w:b w:val="false"/>
          <w:i w:val="false"/>
          <w:caps w:val="false"/>
          <w:smallCaps w:val="false"/>
          <w:position w:val="-2"/>
          <w:sz w:val="16"/>
          <w:sz w:val="20"/>
        </w:rPr>
        <w:t xml:space="preserve">100 </w:t>
      </w:r>
      <w:r>
        <w:rPr>
          <w:rFonts w:ascii="Times New Roman;Times;Serif" w:hAnsi="Times New Roman;Times;Serif"/>
          <w:b w:val="false"/>
          <w:i w:val="false"/>
          <w:caps w:val="false"/>
          <w:smallCaps w:val="false"/>
          <w:sz w:val="20"/>
        </w:rPr>
        <w:t>the remaining 1,304,352 December 2024 Warrants expired. On June 9, 2025 and September 4, 2025, 513,517 and 593,351 pre-funded warrants were exercised to 513,501 and 593,351 Ordinary Shares,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we entered into an inducement offer letter agreement, or the Inducement Letter, with certain holders, each, a Holder. These Holders held (i) 2,190,121 January 2024 Warrants, and (ii) 5,436,393 December 2024 Warrants, together, the Existing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each Holder agreed to exercise for cash its Existing Warrants to purchase an aggregate of 7,626,514 Ordinary Shares, at a reduced exercise price of $3.50 per Ordinary Share, in consideration of our agreement to issue new warrants, or the New Warrants, to purchase up to 7,626,514 Ordinary Shares at an exercise price of $4.50 per Ordinary Share. We received aggregate gross proceeds of approximately $26.7 million from the exercise of the Existing Warrants by the Holders. We used and expect to continue to use the net proceeds from these transactions for an NDA submission with respect to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launch preparations, working capital and general corporate purposes. On December 2025, 725,000 shares held in abeyance were issued to 725,000 Ordinary Shares. Of the 7,626,514 Ordinary Shares underlying the Existing Warrants, 2,828,319 shares issuable to certain holders were held in abeyance as of August 12, 2026, due to beneficial ownership restrictions in the Existing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2026, 103,950 warrants from the New Warrants were exercised to 103,950 Ordinary Shares for a total amount of $467,775.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232,920 warrants from the New Warrants were canceled due to non-compliance with one of the terms of the Inducement Letter.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we entered into a license and supply agreement, or the Agreement, with Azurity Pharmaceuticals Ireland Ltd., or Azurity, pursuant to which we granted the exclusive right to Azurity to commercialize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or the Product, in the United States of America and Canada, or the Territory. The term of the Agreement expires 20 years after the effective date of the Agreement. The Agreement is also terminable by either party under certain limited circumstances. Under the terms of the Agreement, we received an upfront payment of $15 million due upon the execution of the Agreement and achieved the near-term milestone of FDA acceptance of the Product NDA (which happened in July 2026) required for an additional payment of $15 million. We are eligible to receive over $290 million in additional regulatory, development and sales-based milestone payments. Upon commercialization, we will manufacture and supply the Product to Azurity for a transfer price and will be entitled to tiered royalties ranging from mid-teen to mid-twenties percentages.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$6.6 million in 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200" w:right="0" w:hanging="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200" w:right="0" w:hanging="2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cash flows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6050"/>
        <w:gridCol w:w="60"/>
        <w:gridCol w:w="140"/>
        <w:gridCol w:w="755"/>
        <w:gridCol w:w="95"/>
        <w:gridCol w:w="60"/>
        <w:gridCol w:w="140"/>
        <w:gridCol w:w="755"/>
        <w:gridCol w:w="110"/>
      </w:tblGrid>
      <w:tr>
        <w:trPr/>
        <w:tc>
          <w:tcPr>
            <w:tcW w:w="6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(12,711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(13,835</w:t>
            </w:r>
          </w:p>
        </w:tc>
        <w:tc>
          <w:tcPr>
            <w:tcW w:w="110" w:type="dxa"/>
            <w:tcBorders/>
            <w:shd w:fill="CCEEFF" w:val="clear"/>
            <w:vAlign w:val="center"/>
          </w:tcPr>
          <w:p>
            <w:pPr>
              <w:pStyle w:val="TableContents"/>
              <w:bidi w:val="0"/>
              <w:spacing w:before="0" w:after="283"/>
              <w:jc w:val="left"/>
              <w:rPr/>
            </w:pPr>
            <w:r>
              <w:rPr/>
              <w:t>)</w:t>
            </w:r>
          </w:p>
        </w:tc>
      </w:tr>
      <w:tr>
        <w:trPr/>
        <w:tc>
          <w:tcPr>
            <w:tcW w:w="605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6,292</w:t>
            </w:r>
          </w:p>
        </w:tc>
        <w:tc>
          <w:tcPr>
            <w:tcW w:w="11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7,542</w:t>
            </w:r>
          </w:p>
        </w:tc>
        <w:tc>
          <w:tcPr>
            <w:tcW w:w="11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Exchange rate differences on cash and cash equivalent balances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162</w:t>
            </w:r>
          </w:p>
        </w:tc>
        <w:tc>
          <w:tcPr>
            <w:tcW w:w="11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Net 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161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200" w:right="0" w:hanging="20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Activities </w:t>
      </w:r>
    </w:p>
    <w:p>
      <w:pPr>
        <w:pStyle w:val="TextBody"/>
        <w:bidi w:val="0"/>
        <w:spacing w:before="0" w:after="0"/>
        <w:ind w:left="200" w:right="0" w:hanging="2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related primarily to our net losses adjusted for non-cash charges and measurements and changes in components of working capital. Adjustments to net loss for non-cash items mainly included depreciation, remeasurement of pre-funded warrants and share-based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$13,835 thousand for the six months ended June 30, 2026, as compared to $12,711 thousand for the six months ended June 30, 2025. This increase was primarily related to the activities towards NDA submission and preparation for the FDA pre-launch audit.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Investing Activities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$6,292 thousand for the six months ended June 30, 2026, as compared to net cash used in investing activities of $12,016 thousand for the six months ended June 30, 2025. This change in net cash used in investing activities primarily related to a change in short-term deposits,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Financing Activities </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$7,542 thousand for the six months ended June 30, 2026, as compared to $26,548 thousand for the six months ended June 30, 2025. The decrease in net cash provided by financing activities is primarily related to lower net proceeds from the Inducement Letter transactions as compared to proceeds received in the 2025 period from issuances of Ordinary Shares and exercises of warrants, offset by lower amounts related to repayments of the loan provided by Kreos.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Current 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revenues from commercial sale of our product candidates. We expect to continue to incur expenses in connection with our ongoing activities, particularly as we continue to seek marketing approval and conduct future clinical trials for our product candidates, and as we continue the research and development of our other existing and future product candidates. In addition, if we obtain marketing approval for any product candidates, we expect to incur significant commercialization expenses related to product sales, marketing, manufacturing and distribution to the extent that such sales, marketing, manufacturing and distribution are not the responsibility of potential collaborators. Accordingly, we will need to obtain substantial additional funding in connection with our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existing cash and cash equivalents, including $15 million that we expect to receive from Azurity in September 2026 related to the achievement of the near-term milestone of FDA acceptance of the Product NDA (which happened in July 2026), will enable us to fund our operating expenses and capital expenditure requirements for at least twelve months. We anticipate that we will need to raise additional capital, as well as continue to invest in the research and development of OncoPLEX and any other future product candidates. If we are unable to raise additional capital when desired, our business, operating results, and financial condition would be adversely affected, and there is substantial doubt about our ability to continue as a going concern. We have a shareholders’ equity of $5.4 million as of June 30, 2026. We expect to continue incurring losses and negative cash flows from operations until our products reach commercial profitability. Our plans to reduce the going concern risk include the continued commercialization of our products, maintaining cost efficiency and raising capital through the sale of additional equity securities, debt or capital inflows from strategic partnerships.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will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costs, timing and outcome of regulatory review of D-PLEX</w:t>
            </w:r>
            <w:r>
              <w:rPr>
                <w:position w:val="-2"/>
                <w:sz w:val="16"/>
                <w:sz w:val="20"/>
              </w:rPr>
              <w:t>100</w:t>
            </w:r>
            <w:r>
              <w:rPr/>
              <w:t xml:space="preserve"> and any future product candidates;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costs and timing of establishing and validating manufacturing processes and facilities for development and commercialization of D-PLEX</w:t>
            </w:r>
            <w:r>
              <w:rPr>
                <w:position w:val="-2"/>
                <w:sz w:val="16"/>
                <w:sz w:val="20"/>
              </w:rPr>
              <w:t>100</w:t>
            </w:r>
            <w:r>
              <w:rPr/>
              <w:t xml:space="preserve"> and any future product candidates, if approved, including our manufacturing facility;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number and development requirements of any future product candidates that we may pursue;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costs and timing of future commercialization activities, including product manufacturing, marketing, sales and distribution, for any of our product candidates for which we receive marketing approval;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revenue, if any, received from commercial sales of our product candidates for which we receive marketing approval, which may be affected by market conditions, including obtaining coverage and adequate reimbursement of our product candidates from third-party payors, including government programs and managed care organizations, and competition;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our ability to establish and maintain collaborations with biopharmaceutical companies on favorable terms, if at all;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costs of preparing, filing and prosecuting patent applications, maintaining and enforcing our intellectual property rights and defending intellectual property-related claims;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extent to which we acquire or in-license other product candidates and technologies.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potential product candidates and conducting clinical trials and preclinical studies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product revenues, we expect to finance our cash needs through a combination of equity offerings, including pursuant to the New Sales Agreement, debt financings, grants, collaborations, strategic alliances and licensing arrangements.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patents and licenses,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comprehensive discussion of our research and development, patents and licenses, etc., is included in “Item 5. Operating and Financial Review and Prospects - Management’s Discussion and Analysis of Financial Condition and Results of Operations” section in our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from product sales. From inception through June 30, 2026, we incurred $210.1 million in research and development expenses, net to advance the development of our clinical-stage product candidates, as well as other preclinical research and development programs. We expect to continue to incur expenses in connection with our ongoing activities, particularly as we continue to conduct clinical trials and seek marketing approval for our product candidates, and as we continue the research and development of our other existing and future product candidates. In addition, if we obtain marketing approval for any product candidates, we expect to incur significant commercialization expenses related to product sales, marketing, manufacturing and distribution to the extent that such sales, marketing, manufacturing and distribution are not the responsibility of potential collaborators. For a description of additional factors that may affect our future performance, please see “Item 5. Operating and Financial Review and Prospects— B. Liquidity and Capital Resources— Current Outlook.”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requires us to make estimates and assumptions that affect the reported amounts of assets, obligations, income and expenses during the reporting periods. In addition to our accounting estimate used in line of credit discussed below, for a comprehensive discussion of our critical accounting estimates please see “Item 5. Operating and Financial Review and Prospects - Management’s Discussion and Analysis of Financial Condition and Results of Operations – E. Critical Accounting Estimates” section in our Annual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11842/000121390024009108/ea192572-f3_polypidltd.htm" TargetMode="External"/><Relationship Id="rId3" Type="http://schemas.openxmlformats.org/officeDocument/2006/relationships/hyperlink" Target="http://www.sec.gov/Archives/edgar/data/1611842/000121390024058595/ea0208115-f3_polypidltd.htm" TargetMode="External"/><Relationship Id="rId4" Type="http://schemas.openxmlformats.org/officeDocument/2006/relationships/hyperlink" Target="http://www.sec.gov/Archives/edgar/data/1611842/000121390024074508/ea0212801-f3_polypidltd.htm" TargetMode="External"/><Relationship Id="rId5" Type="http://schemas.openxmlformats.org/officeDocument/2006/relationships/hyperlink" Target="https://www.sec.gov/Archives/edgar/data/1611842/000121390025004999/ea0227827-f3_polypid.htm" TargetMode="External"/><Relationship Id="rId6" Type="http://schemas.openxmlformats.org/officeDocument/2006/relationships/hyperlink" Target="http://www.sec.gov/Archives/edgar/data/1611842/000121390025068692/ea0250584-f3_polypid.htm" TargetMode="External"/><Relationship Id="rId7" Type="http://schemas.openxmlformats.org/officeDocument/2006/relationships/hyperlink" Target="http://www.sec.gov/Archives/edgar/data/1611842/000110465920077735/tm209265d11_s8.htm" TargetMode="External"/><Relationship Id="rId8" Type="http://schemas.openxmlformats.org/officeDocument/2006/relationships/hyperlink" Target="http://www.sec.gov/Archives/edgar/data/1611842/000121390023025649/ea176190-s8_polypid.htm" TargetMode="External"/><Relationship Id="rId9" Type="http://schemas.openxmlformats.org/officeDocument/2006/relationships/hyperlink" Target="http://www.sec.gov/Archives/edgar/data/1611842/000121390024020445/ea0201047-s8_polypid.htm" TargetMode="External"/><Relationship Id="rId10" Type="http://schemas.openxmlformats.org/officeDocument/2006/relationships/hyperlink" Target="http://www.sec.gov/Archives/edgar/data/1611842/000121390024058604/ea0208116-s8_polypid.htm" TargetMode="External"/><Relationship Id="rId11" Type="http://schemas.openxmlformats.org/officeDocument/2006/relationships/hyperlink" Target="http://www.sec.gov/Archives/edgar/data/1611842/000121390025075646/ea0252816-s8_polypid.htm" TargetMode="External"/><Relationship Id="rId12" Type="http://schemas.openxmlformats.org/officeDocument/2006/relationships/hyperlink" Target="https://www.sec.gov/Archives/edgar/data/1611842/000121390026088332/ea0300790-s8_polypid.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10466</Words>
  <Characters>57323</Characters>
  <CharactersWithSpaces>68837</CharactersWithSpaces>
  <Paragraphs>2883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