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001-38428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Hasivim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Petach Tikva 495376,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9"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Attached hereto and incorporated herein is PolyPid Ltd.’s (the “Registrant”) press release issued on June 1, 2026, titled “PolyPid Completes New Drug Application Submission to FDA for 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648"/>
        <w:spacing w:after="0" w:line="258"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first two paragraphs and the section titled “Forward-looking Statements” in the press release are incorporated by reference into the </w:t>
      </w:r>
      <w:hyperlink r:id="rId13">
        <w:r>
          <w:rPr>
            <w:rFonts w:ascii="Times New Roman" w:cs="Times New Roman" w:eastAsia="Times New Roman" w:hAnsi="Times New Roman"/>
            <w:sz w:val="18"/>
            <w:szCs w:val="18"/>
            <w:color w:val="auto"/>
          </w:rPr>
          <w:t xml:space="preserve">Registrant’s registration statements on Form F-3 (File No. </w:t>
        </w:r>
        <w:r>
          <w:rPr>
            <w:rFonts w:ascii="Times New Roman" w:cs="Times New Roman" w:eastAsia="Times New Roman" w:hAnsi="Times New Roman"/>
            <w:sz w:val="18"/>
            <w:szCs w:val="18"/>
            <w:u w:val="single" w:color="auto"/>
            <w:color w:val="0000FF"/>
          </w:rPr>
          <w:t>333-276826</w:t>
        </w:r>
        <w:r>
          <w:rPr>
            <w:rFonts w:ascii="Times New Roman" w:cs="Times New Roman" w:eastAsia="Times New Roman" w:hAnsi="Times New Roman"/>
            <w:sz w:val="18"/>
            <w:szCs w:val="18"/>
            <w:color w:val="auto"/>
          </w:rPr>
          <w:t xml:space="preserve">, File No. </w:t>
        </w:r>
        <w:r>
          <w:rPr>
            <w:rFonts w:ascii="Times New Roman" w:cs="Times New Roman" w:eastAsia="Times New Roman" w:hAnsi="Times New Roman"/>
            <w:sz w:val="18"/>
            <w:szCs w:val="18"/>
            <w:u w:val="single" w:color="auto"/>
            <w:color w:val="0000FF"/>
          </w:rPr>
          <w:t>333-280658</w:t>
        </w:r>
        <w:r>
          <w:rPr>
            <w:rFonts w:ascii="Times New Roman" w:cs="Times New Roman" w:eastAsia="Times New Roman" w:hAnsi="Times New Roman"/>
            <w:sz w:val="18"/>
            <w:szCs w:val="18"/>
            <w:color w:val="auto"/>
          </w:rPr>
          <w:t xml:space="preserve">, File No. </w:t>
        </w:r>
        <w:r>
          <w:rPr>
            <w:rFonts w:ascii="Times New Roman" w:cs="Times New Roman" w:eastAsia="Times New Roman" w:hAnsi="Times New Roman"/>
            <w:sz w:val="18"/>
            <w:szCs w:val="18"/>
            <w:u w:val="single" w:color="auto"/>
            <w:color w:val="0000FF"/>
          </w:rPr>
          <w:t>333-281863</w:t>
        </w:r>
        <w:r>
          <w:rPr>
            <w:rFonts w:ascii="Times New Roman" w:cs="Times New Roman" w:eastAsia="Times New Roman" w:hAnsi="Times New Roman"/>
            <w:sz w:val="18"/>
            <w:szCs w:val="18"/>
            <w:color w:val="auto"/>
          </w:rPr>
          <w:t xml:space="preserve">, File No. </w:t>
        </w:r>
        <w:r>
          <w:rPr>
            <w:rFonts w:ascii="Times New Roman" w:cs="Times New Roman" w:eastAsia="Times New Roman" w:hAnsi="Times New Roman"/>
            <w:sz w:val="18"/>
            <w:szCs w:val="18"/>
            <w:u w:val="single" w:color="auto"/>
            <w:color w:val="0000FF"/>
          </w:rPr>
          <w:t>333-284376</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FF"/>
          </w:rPr>
          <w:t>333-</w:t>
        </w:r>
      </w:hyperlink>
      <w:hyperlink r:id="rId13">
        <w:r>
          <w:rPr>
            <w:rFonts w:ascii="Times New Roman" w:cs="Times New Roman" w:eastAsia="Times New Roman" w:hAnsi="Times New Roman"/>
            <w:sz w:val="18"/>
            <w:szCs w:val="18"/>
            <w:u w:val="single" w:color="auto"/>
            <w:color w:val="0000FF"/>
          </w:rPr>
          <w:t>289034</w:t>
        </w:r>
        <w:r>
          <w:rPr>
            <w:rFonts w:ascii="Times New Roman" w:cs="Times New Roman" w:eastAsia="Times New Roman" w:hAnsi="Times New Roman"/>
            <w:sz w:val="18"/>
            <w:szCs w:val="18"/>
            <w:color w:val="000000"/>
          </w:rPr>
          <w:t>) and Form S-8 (File No.</w:t>
        </w:r>
        <w:r>
          <w:rPr>
            <w:rFonts w:ascii="Times New Roman" w:cs="Times New Roman" w:eastAsia="Times New Roman" w:hAnsi="Times New Roman"/>
            <w:sz w:val="18"/>
            <w:szCs w:val="18"/>
            <w:color w:val="0000FF"/>
          </w:rPr>
          <w:t xml:space="preserve"> </w:t>
        </w:r>
      </w:hyperlink>
      <w:hyperlink r:id="rId14">
        <w:r>
          <w:rPr>
            <w:rFonts w:ascii="Times New Roman" w:cs="Times New Roman" w:eastAsia="Times New Roman" w:hAnsi="Times New Roman"/>
            <w:sz w:val="18"/>
            <w:szCs w:val="18"/>
            <w:u w:val="single" w:color="auto"/>
            <w:color w:val="0000FF"/>
          </w:rPr>
          <w:t>333-239517</w:t>
        </w:r>
      </w:hyperlink>
      <w:hyperlink r:id="rId13">
        <w:r>
          <w:rPr>
            <w:rFonts w:ascii="Times New Roman" w:cs="Times New Roman" w:eastAsia="Times New Roman" w:hAnsi="Times New Roman"/>
            <w:sz w:val="18"/>
            <w:szCs w:val="18"/>
            <w:color w:val="000000"/>
          </w:rPr>
          <w:t>, File No.</w:t>
        </w:r>
        <w:r>
          <w:rPr>
            <w:rFonts w:ascii="Times New Roman" w:cs="Times New Roman" w:eastAsia="Times New Roman" w:hAnsi="Times New Roman"/>
            <w:sz w:val="18"/>
            <w:szCs w:val="18"/>
            <w:color w:val="0000FF"/>
          </w:rPr>
          <w:t xml:space="preserve"> </w:t>
        </w:r>
      </w:hyperlink>
      <w:hyperlink r:id="rId15">
        <w:r>
          <w:rPr>
            <w:rFonts w:ascii="Times New Roman" w:cs="Times New Roman" w:eastAsia="Times New Roman" w:hAnsi="Times New Roman"/>
            <w:sz w:val="18"/>
            <w:szCs w:val="18"/>
            <w:u w:val="single" w:color="auto"/>
            <w:color w:val="0000FF"/>
          </w:rPr>
          <w:t>333-271060</w:t>
        </w:r>
      </w:hyperlink>
      <w:hyperlink r:id="rId13">
        <w:r>
          <w:rPr>
            <w:rFonts w:ascii="Times New Roman" w:cs="Times New Roman" w:eastAsia="Times New Roman" w:hAnsi="Times New Roman"/>
            <w:sz w:val="18"/>
            <w:szCs w:val="18"/>
            <w:color w:val="000000"/>
          </w:rPr>
          <w:t>, File No.</w:t>
        </w:r>
        <w:r>
          <w:rPr>
            <w:rFonts w:ascii="Times New Roman" w:cs="Times New Roman" w:eastAsia="Times New Roman" w:hAnsi="Times New Roman"/>
            <w:sz w:val="18"/>
            <w:szCs w:val="18"/>
            <w:color w:val="0000FF"/>
          </w:rPr>
          <w:t xml:space="preserve"> </w:t>
        </w:r>
      </w:hyperlink>
      <w:hyperlink r:id="rId16">
        <w:r>
          <w:rPr>
            <w:rFonts w:ascii="Times New Roman" w:cs="Times New Roman" w:eastAsia="Times New Roman" w:hAnsi="Times New Roman"/>
            <w:sz w:val="18"/>
            <w:szCs w:val="18"/>
            <w:u w:val="single" w:color="auto"/>
            <w:color w:val="0000FF"/>
          </w:rPr>
          <w:t>333-277703</w:t>
        </w:r>
      </w:hyperlink>
      <w:hyperlink r:id="rId13">
        <w:r>
          <w:rPr>
            <w:rFonts w:ascii="Times New Roman" w:cs="Times New Roman" w:eastAsia="Times New Roman" w:hAnsi="Times New Roman"/>
            <w:sz w:val="18"/>
            <w:szCs w:val="18"/>
            <w:color w:val="000000"/>
          </w:rPr>
          <w:t>, File No.</w:t>
        </w:r>
        <w:r>
          <w:rPr>
            <w:rFonts w:ascii="Times New Roman" w:cs="Times New Roman" w:eastAsia="Times New Roman" w:hAnsi="Times New Roman"/>
            <w:sz w:val="18"/>
            <w:szCs w:val="18"/>
            <w:color w:val="0000FF"/>
          </w:rPr>
          <w:t xml:space="preserve"> </w:t>
        </w:r>
      </w:hyperlink>
      <w:hyperlink r:id="rId17">
        <w:r>
          <w:rPr>
            <w:rFonts w:ascii="Times New Roman" w:cs="Times New Roman" w:eastAsia="Times New Roman" w:hAnsi="Times New Roman"/>
            <w:sz w:val="18"/>
            <w:szCs w:val="18"/>
            <w:u w:val="single" w:color="auto"/>
            <w:color w:val="0000FF"/>
          </w:rPr>
          <w:t xml:space="preserve">333-280662 </w:t>
        </w:r>
      </w:hyperlink>
      <w:hyperlink r:id="rId13">
        <w:r>
          <w:rPr>
            <w:rFonts w:ascii="Times New Roman" w:cs="Times New Roman" w:eastAsia="Times New Roman" w:hAnsi="Times New Roman"/>
            <w:sz w:val="18"/>
            <w:szCs w:val="18"/>
            <w:color w:val="000000"/>
          </w:rPr>
          <w:t>and File No.</w:t>
        </w:r>
        <w:r>
          <w:rPr>
            <w:rFonts w:ascii="Times New Roman" w:cs="Times New Roman" w:eastAsia="Times New Roman" w:hAnsi="Times New Roman"/>
            <w:sz w:val="18"/>
            <w:szCs w:val="18"/>
            <w:color w:val="0000FF"/>
          </w:rPr>
          <w:t xml:space="preserve"> </w:t>
        </w:r>
      </w:hyperlink>
      <w:hyperlink r:id="rId18">
        <w:r>
          <w:rPr>
            <w:rFonts w:ascii="Times New Roman" w:cs="Times New Roman" w:eastAsia="Times New Roman" w:hAnsi="Times New Roman"/>
            <w:sz w:val="18"/>
            <w:szCs w:val="18"/>
            <w:u w:val="single" w:color="auto"/>
            <w:color w:val="0000FF"/>
          </w:rPr>
          <w:t>333-289570</w:t>
        </w:r>
      </w:hyperlink>
      <w:hyperlink r:id="rId13">
        <w:r>
          <w:rPr>
            <w:rFonts w:ascii="Times New Roman" w:cs="Times New Roman" w:eastAsia="Times New Roman" w:hAnsi="Times New Roman"/>
            <w:sz w:val="18"/>
            <w:szCs w:val="18"/>
            <w:color w:val="000000"/>
          </w:rPr>
          <w:t>) filed with the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Securities and Exchange Commission to be a part thereof from the date on which this report is submitted, to the extent not superseded by documents or reports subsequently filed or furnished.</w:t>
      </w:r>
    </w:p>
    <w:p>
      <w:pPr>
        <w:spacing w:after="0" w:line="399" w:lineRule="exact"/>
        <w:rPr>
          <w:rFonts w:ascii="Times New Roman" w:cs="Times New Roman" w:eastAsia="Times New Roman" w:hAnsi="Times New Roman"/>
          <w:sz w:val="18"/>
          <w:szCs w:val="18"/>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59"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u w:val="single" w:color="auto"/>
          <w:color w:val="0000EE"/>
        </w:rPr>
        <w:t>Press Release issued by PolyPid Ltd. on June 1, 2026, titled “PolyPid Completes New Drug Application Submission to FDA for D-PLEX</w:t>
      </w:r>
      <w:r>
        <w:rPr>
          <w:rFonts w:ascii="Times New Roman" w:cs="Times New Roman" w:eastAsia="Times New Roman" w:hAnsi="Times New Roman"/>
          <w:sz w:val="29"/>
          <w:szCs w:val="29"/>
          <w:u w:val="single" w:color="auto"/>
          <w:color w:val="0000EE"/>
          <w:vertAlign w:val="subscript"/>
        </w:rPr>
        <w:t>100</w:t>
      </w:r>
      <w:r>
        <w:rPr>
          <w:rFonts w:ascii="Times New Roman" w:cs="Times New Roman" w:eastAsia="Times New Roman" w:hAnsi="Times New Roman"/>
          <w:sz w:val="18"/>
          <w:szCs w:val="18"/>
          <w:u w:val="single" w:color="auto"/>
          <w:color w:val="0000E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-300990</wp:posOffset>
            </wp:positionV>
            <wp:extent cx="71323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7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80" w:space="260"/>
            <w:col w:w="9480"/>
          </w:cols>
          <w:pgMar w:left="320" w:top="900" w:right="9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 2026</w:t>
      </w:r>
      <w:r>
        <w:rPr>
          <w:sz w:val="20"/>
          <w:szCs w:val="20"/>
          <w:color w:val="auto"/>
        </w:rPr>
        <w:tab/>
      </w:r>
      <w:r>
        <w:rPr>
          <w:rFonts w:ascii="Times New Roman" w:cs="Times New Roman" w:eastAsia="Times New Roman" w:hAnsi="Times New Roman"/>
          <w:sz w:val="18"/>
          <w:szCs w:val="18"/>
          <w:color w:val="auto"/>
        </w:rPr>
        <w:t>By: /s/ Dikla Czaczkes Akselbrad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Dikla Czaczkes Akselbrad</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156845</wp:posOffset>
            </wp:positionV>
            <wp:extent cx="1380490" cy="40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8049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PolyPid Completes New Drug Application Submission to FDA for D-PLEX</w:t>
      </w:r>
      <w:r>
        <w:rPr>
          <w:rFonts w:ascii="Times New Roman" w:cs="Times New Roman" w:eastAsia="Times New Roman" w:hAnsi="Times New Roman"/>
          <w:sz w:val="29"/>
          <w:szCs w:val="29"/>
          <w:b w:val="1"/>
          <w:bCs w:val="1"/>
          <w:color w:val="auto"/>
          <w:vertAlign w:val="subscript"/>
        </w:rPr>
        <w:t>100</w:t>
      </w:r>
    </w:p>
    <w:p>
      <w:pPr>
        <w:spacing w:after="0" w:line="11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i w:val="1"/>
          <w:iCs w:val="1"/>
          <w:color w:val="auto"/>
        </w:rPr>
        <w:t>If approved, D-PLEX</w:t>
      </w:r>
      <w:r>
        <w:rPr>
          <w:rFonts w:ascii="Times New Roman" w:cs="Times New Roman" w:eastAsia="Times New Roman" w:hAnsi="Times New Roman"/>
          <w:sz w:val="29"/>
          <w:szCs w:val="29"/>
          <w:i w:val="1"/>
          <w:iCs w:val="1"/>
          <w:color w:val="auto"/>
          <w:vertAlign w:val="subscript"/>
        </w:rPr>
        <w:t>100</w:t>
      </w:r>
      <w:r>
        <w:rPr>
          <w:rFonts w:ascii="Times New Roman" w:cs="Times New Roman" w:eastAsia="Times New Roman" w:hAnsi="Times New Roman"/>
          <w:sz w:val="18"/>
          <w:szCs w:val="18"/>
          <w:i w:val="1"/>
          <w:iCs w:val="1"/>
          <w:color w:val="auto"/>
        </w:rPr>
        <w:t xml:space="preserve"> would address a critical unmet medical need in the</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prevention of surgical site infections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PDUFA target action date currently planned for the first quarter of 2027</w:t>
      </w:r>
    </w:p>
    <w:p>
      <w:pPr>
        <w:spacing w:after="0" w:line="227"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PETACH TIKVA, Israel, June 1, 2026 -- PolyPid Ltd. (Nasdaq: PYPD) (“PolyPid” or the “Company”), an innovative biopharmaceutical company dedicated to improving patient outcomes by elevating treatment effectiveness, right where care begins, today announced the successful completion of its New Drug Application (“NDA”) submission on a rolling review basis to the U.S. Food and Drug Administration (“FDA”) for 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the Company’s lead product candidate for the prevention of surgical site infections (“SSIs”) in patients undergoing colorectal surgery. The Company anticipates a potential FDA decision in the first quarter of 2027 under the Prescription Drug User Fee Act (“PDUFA”) review timeline.</w:t>
      </w:r>
    </w:p>
    <w:p>
      <w:pPr>
        <w:spacing w:after="0" w:line="201" w:lineRule="exact"/>
        <w:rPr>
          <w:sz w:val="20"/>
          <w:szCs w:val="20"/>
          <w:color w:val="auto"/>
        </w:rPr>
      </w:pPr>
    </w:p>
    <w:p>
      <w:pPr>
        <w:ind w:right="260"/>
        <w:spacing w:after="0" w:line="228" w:lineRule="auto"/>
        <w:rPr>
          <w:sz w:val="20"/>
          <w:szCs w:val="20"/>
          <w:color w:val="auto"/>
        </w:rPr>
      </w:pPr>
      <w:r>
        <w:rPr>
          <w:rFonts w:ascii="Times New Roman" w:cs="Times New Roman" w:eastAsia="Times New Roman" w:hAnsi="Times New Roman"/>
          <w:sz w:val="17"/>
          <w:szCs w:val="17"/>
          <w:color w:val="auto"/>
        </w:rPr>
        <w:t>The NDA is supported by positive results from the Company’s pivotal Phase 3 SHIELD II trial that met its primary endpoint and all key secondary endpoints, and demonstrated a 60% relative risk reduction in SSIs compared to standard of care (p=0.0013). D-PLEX</w:t>
      </w:r>
      <w:r>
        <w:rPr>
          <w:rFonts w:ascii="Times New Roman" w:cs="Times New Roman" w:eastAsia="Times New Roman" w:hAnsi="Times New Roman"/>
          <w:sz w:val="28"/>
          <w:szCs w:val="28"/>
          <w:color w:val="auto"/>
          <w:vertAlign w:val="subscript"/>
        </w:rPr>
        <w:t>100</w:t>
      </w:r>
      <w:r>
        <w:rPr>
          <w:rFonts w:ascii="Times New Roman" w:cs="Times New Roman" w:eastAsia="Times New Roman" w:hAnsi="Times New Roman"/>
          <w:sz w:val="17"/>
          <w:szCs w:val="17"/>
          <w:color w:val="auto"/>
        </w:rPr>
        <w:t xml:space="preserve"> has been granted Breakthrough Therapy, Fast Track, and Qualified Infectious Disease Product (“QIDP”) designations by the FDA, supporting eligibility for Priority Review.</w:t>
      </w:r>
    </w:p>
    <w:p>
      <w:pPr>
        <w:spacing w:after="0" w:line="71"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“Completing the NDA submission for 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xml:space="preserve"> is a defining milestone for PolyPid and the culmination of years of disciplined clinical and regulatory work,” said Dikla Czaczkes Akselbrad, Chief Executive Officer of PolyPid. “With the full application now before the FDA, we are focused on supporting the agency’s review, finalizing our U.S. commercial partnership discussions, and preparing for the potential approval and launch of a novel approach to the prevention of SSIs.”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D-PLEX</w:t>
      </w:r>
      <w:r>
        <w:rPr>
          <w:rFonts w:ascii="Times New Roman" w:cs="Times New Roman" w:eastAsia="Times New Roman" w:hAnsi="Times New Roman"/>
          <w:sz w:val="29"/>
          <w:szCs w:val="29"/>
          <w:b w:val="1"/>
          <w:bCs w:val="1"/>
          <w:color w:val="auto"/>
          <w:vertAlign w:val="subscript"/>
        </w:rPr>
        <w:t>100</w:t>
      </w:r>
    </w:p>
    <w:p>
      <w:pPr>
        <w:spacing w:after="0" w:line="116" w:lineRule="exact"/>
        <w:rPr>
          <w:sz w:val="20"/>
          <w:szCs w:val="20"/>
          <w:color w:val="auto"/>
        </w:rPr>
      </w:pPr>
    </w:p>
    <w:p>
      <w:pPr>
        <w:ind w:right="160"/>
        <w:spacing w:after="0" w:line="202" w:lineRule="auto"/>
        <w:rPr>
          <w:sz w:val="20"/>
          <w:szCs w:val="20"/>
          <w:color w:val="auto"/>
        </w:rPr>
      </w:pPr>
      <w:r>
        <w:rPr>
          <w:rFonts w:ascii="Times New Roman" w:cs="Times New Roman" w:eastAsia="Times New Roman" w:hAnsi="Times New Roman"/>
          <w:sz w:val="18"/>
          <w:szCs w:val="18"/>
          <w:color w:val="auto"/>
        </w:rPr>
        <w:t>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xml:space="preserve"> is PolyPid’s lead product candidate, designed to prevent surgical site infections following abdominal colorectal surgery. Built on the Company’s proprietary Kynatrix™ technology, 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xml:space="preserve"> is administered locally at the surgical site at the time of wound closure and delivers a sustained, controlled release of doxycycline for approximately 30 days, with minimal systemic exposure. In the Phase 3 SHIELD II trial, 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xml:space="preserve"> met its primary endpoint and key secondary endpoints, demonstrating a 60% relative risk reduction in SSIs compared to standard of care (p=0.0013). 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xml:space="preserve"> has been granted Breakthrough Therapy, Fast Track, and Qualified Infectious Disease Product (QIDP) designations by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PolyPid</w:t>
      </w:r>
    </w:p>
    <w:p>
      <w:pPr>
        <w:spacing w:after="0" w:line="229"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color w:val="auto"/>
        </w:rPr>
        <w:t>PolyPid Ltd. (Nasdaq: PYPD) is an innovative biopharmaceutical company dedicated to elevating treatment effectiveness, right where care begins. The Company develops long-acting, controlled-release drugs designed to deliver therapy precisely at the site of care, addressing critical unmet medical needs across a wide and diverse pipeline spanning surgical care, metabolic diseases, and beyond. PolyPid’s lead product, 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successfully met its primary and all key secondary endpoints in the landmark Phase 3 SHIELD II trial for the prevention of surgical site infections. Guided by a commitment to precision and innovation, PolyPid is redefining how therapies perform and raises the standard of patient care. For additional Company information, please visit http://www.polypid.com and follow us on Twitter (X) and LinkedIn.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its anticipation about the potential FDA decision and the timing thereof, benefits and advantages of D-PLEX</w:t>
      </w:r>
      <w:r>
        <w:rPr>
          <w:rFonts w:ascii="Times New Roman" w:cs="Times New Roman" w:eastAsia="Times New Roman" w:hAnsi="Times New Roman"/>
          <w:sz w:val="29"/>
          <w:szCs w:val="29"/>
          <w:color w:val="auto"/>
          <w:vertAlign w:val="subscript"/>
        </w:rPr>
        <w:t>100</w:t>
      </w:r>
      <w:r>
        <w:rPr>
          <w:rFonts w:ascii="Times New Roman" w:cs="Times New Roman" w:eastAsia="Times New Roman" w:hAnsi="Times New Roman"/>
          <w:sz w:val="18"/>
          <w:szCs w:val="18"/>
          <w:color w:val="auto"/>
        </w:rPr>
        <w:t>, the Company’s focus on supporting the FDA’s review, finalization of its U.S. commercial partnership discussions, and preparation for the potential approval and launch of a novel approach to the prevention of SSIs.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including, but not limited to, the risks detailed in the Company’s Annual Report on Form 20-F filed on February 25,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PolyPid is not responsible for the contents of third-party websites.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PolyPid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 Warshavsky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908-858-5995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IR@Polypid.com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Arx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American Equities Desk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polypid@arxhq.com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jpeg"/><Relationship Id="rId25" Type="http://schemas.openxmlformats.org/officeDocument/2006/relationships/image" Target="media/image12.png"/><Relationship Id="rId26" Type="http://schemas.openxmlformats.org/officeDocument/2006/relationships/image" Target="media/image13.png"/><Relationship Id="rId13" Type="http://schemas.openxmlformats.org/officeDocument/2006/relationships/hyperlink" Target="http://www.sec.gov/Archives/edgar/data/1611842/000121390025068692/ea0250584-f3_polypid.htm" TargetMode="External"/><Relationship Id="rId14" Type="http://schemas.openxmlformats.org/officeDocument/2006/relationships/hyperlink" Target="http://www.sec.gov/Archives/edgar/data/1611842/000110465920077735/tm209265d11_s8.htm" TargetMode="External"/><Relationship Id="rId15" Type="http://schemas.openxmlformats.org/officeDocument/2006/relationships/hyperlink" Target="http://www.sec.gov/Archives/edgar/data/1611842/000121390023025649/ea176190-s8_polypid.htm" TargetMode="External"/><Relationship Id="rId16" Type="http://schemas.openxmlformats.org/officeDocument/2006/relationships/hyperlink" Target="http://www.sec.gov/Archives/edgar/data/1611842/000121390024020445/ea0201047-s8_polypid.htm" TargetMode="External"/><Relationship Id="rId17" Type="http://schemas.openxmlformats.org/officeDocument/2006/relationships/hyperlink" Target="http://www.sec.gov/Archives/edgar/data/1611842/000121390024058604/ea0208116-s8_polypid.htm" TargetMode="External"/><Relationship Id="rId18" Type="http://schemas.openxmlformats.org/officeDocument/2006/relationships/hyperlink" Target="http://www.sec.gov/Archives/edgar/data/1611842/000121390025075646/ea0252816-s8_polypi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2026-06-01T07:44:53Z</dcterms:created>
  <dcterms:modified xsi:type="dcterms:W3CDTF">2026-06-01T07:44:53Z</dcterms:modified>
</cp:coreProperties>
</file>